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09" w:rsidRDefault="00C31609" w:rsidP="00C31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center"/>
        <w:rPr>
          <w:b/>
        </w:rPr>
      </w:pPr>
      <w:r w:rsidRPr="00C31609">
        <w:rPr>
          <w:b/>
        </w:rPr>
        <w:t>Tenure Stream Faculty</w:t>
      </w:r>
    </w:p>
    <w:p w:rsidR="00C31609" w:rsidRDefault="00C31609" w:rsidP="00C31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center"/>
        <w:rPr>
          <w:b/>
        </w:rPr>
      </w:pPr>
    </w:p>
    <w:p w:rsidR="00C31609" w:rsidRDefault="00916557" w:rsidP="00C31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sz w:val="20"/>
        </w:rPr>
      </w:pPr>
      <w:r>
        <w:rPr>
          <w:sz w:val="20"/>
        </w:rPr>
        <w:t>Full time faculty</w:t>
      </w:r>
    </w:p>
    <w:p w:rsidR="00C31609" w:rsidRDefault="00C31609" w:rsidP="00C31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sz w:val="20"/>
        </w:rPr>
      </w:pPr>
    </w:p>
    <w:p w:rsidR="008E29D1" w:rsidRDefault="008E29D1" w:rsidP="00C31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sz w:val="20"/>
        </w:rPr>
      </w:pPr>
      <w:r>
        <w:rPr>
          <w:sz w:val="20"/>
        </w:rPr>
        <w:t>This group is expected to engage in research, teaching, and service to the university.</w:t>
      </w:r>
    </w:p>
    <w:p w:rsidR="008E29D1" w:rsidRDefault="008E29D1" w:rsidP="00C31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sz w:val="20"/>
        </w:rPr>
      </w:pPr>
    </w:p>
    <w:p w:rsidR="005258B3" w:rsidRDefault="00C31609" w:rsidP="00C31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sz w:val="20"/>
        </w:rPr>
      </w:pPr>
      <w:r>
        <w:rPr>
          <w:sz w:val="20"/>
        </w:rPr>
        <w:t xml:space="preserve">Ranked as </w:t>
      </w:r>
      <w:r w:rsidR="00BC1F1D">
        <w:rPr>
          <w:sz w:val="20"/>
        </w:rPr>
        <w:t xml:space="preserve">instructors, </w:t>
      </w:r>
      <w:r>
        <w:rPr>
          <w:sz w:val="20"/>
        </w:rPr>
        <w:t>assistant, associate, and</w:t>
      </w:r>
      <w:r w:rsidR="005258B3">
        <w:rPr>
          <w:sz w:val="20"/>
        </w:rPr>
        <w:t xml:space="preserve"> full professors, they comprise</w:t>
      </w:r>
      <w:r>
        <w:rPr>
          <w:sz w:val="20"/>
        </w:rPr>
        <w:t xml:space="preserve"> the largest group on campus.</w:t>
      </w:r>
    </w:p>
    <w:p w:rsidR="005258B3" w:rsidRDefault="005258B3" w:rsidP="00C31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sz w:val="20"/>
        </w:rPr>
      </w:pPr>
    </w:p>
    <w:p w:rsidR="00916557" w:rsidRDefault="005258B3" w:rsidP="00C31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sz w:val="20"/>
        </w:rPr>
      </w:pPr>
      <w:r>
        <w:rPr>
          <w:sz w:val="20"/>
        </w:rPr>
        <w:t xml:space="preserve">This is the only group that is eligible for tenure.  The </w:t>
      </w:r>
      <w:proofErr w:type="gramStart"/>
      <w:r>
        <w:rPr>
          <w:sz w:val="20"/>
        </w:rPr>
        <w:t>tenure</w:t>
      </w:r>
      <w:r w:rsidR="00916557">
        <w:rPr>
          <w:sz w:val="20"/>
        </w:rPr>
        <w:t xml:space="preserve"> </w:t>
      </w:r>
      <w:r w:rsidR="00BA72B7">
        <w:rPr>
          <w:sz w:val="20"/>
        </w:rPr>
        <w:t xml:space="preserve"> and</w:t>
      </w:r>
      <w:proofErr w:type="gramEnd"/>
      <w:r w:rsidR="00BA72B7">
        <w:rPr>
          <w:sz w:val="20"/>
        </w:rPr>
        <w:t xml:space="preserve"> promotion </w:t>
      </w:r>
      <w:r w:rsidR="00916557">
        <w:rPr>
          <w:sz w:val="20"/>
        </w:rPr>
        <w:t>process is regulated by Article</w:t>
      </w:r>
      <w:r>
        <w:rPr>
          <w:sz w:val="20"/>
        </w:rPr>
        <w:t xml:space="preserve"> VII of the Agreement.</w:t>
      </w:r>
    </w:p>
    <w:p w:rsidR="00916557" w:rsidRDefault="00916557" w:rsidP="00C31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sz w:val="20"/>
        </w:rPr>
      </w:pPr>
    </w:p>
    <w:p w:rsidR="00F84874" w:rsidRDefault="00916557" w:rsidP="00C31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sz w:val="20"/>
        </w:rPr>
      </w:pPr>
      <w:r>
        <w:rPr>
          <w:sz w:val="20"/>
        </w:rPr>
        <w:t xml:space="preserve">All </w:t>
      </w:r>
      <w:proofErr w:type="gramStart"/>
      <w:r>
        <w:rPr>
          <w:sz w:val="20"/>
        </w:rPr>
        <w:t>faculty</w:t>
      </w:r>
      <w:proofErr w:type="gramEnd"/>
      <w:r>
        <w:rPr>
          <w:sz w:val="20"/>
        </w:rPr>
        <w:t xml:space="preserve"> in this category are eligible for </w:t>
      </w:r>
      <w:r w:rsidR="00EF3306">
        <w:rPr>
          <w:sz w:val="20"/>
        </w:rPr>
        <w:t xml:space="preserve">all </w:t>
      </w:r>
      <w:r>
        <w:rPr>
          <w:sz w:val="20"/>
        </w:rPr>
        <w:t>the insurance provisions explained in Article XVI of the Agreement</w:t>
      </w:r>
      <w:r w:rsidR="008E29D1">
        <w:rPr>
          <w:sz w:val="20"/>
        </w:rPr>
        <w:t>.</w:t>
      </w:r>
    </w:p>
    <w:p w:rsidR="00F84874" w:rsidRDefault="00F84874" w:rsidP="00C31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sz w:val="20"/>
        </w:rPr>
      </w:pPr>
    </w:p>
    <w:p w:rsidR="00916557" w:rsidRPr="00E2492D" w:rsidRDefault="00F84874" w:rsidP="00677D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sz w:val="20"/>
        </w:rPr>
      </w:pPr>
      <w:r>
        <w:rPr>
          <w:sz w:val="20"/>
        </w:rPr>
        <w:t xml:space="preserve">Removal of tenured faculty </w:t>
      </w:r>
      <w:r w:rsidR="00EF3306">
        <w:rPr>
          <w:sz w:val="20"/>
        </w:rPr>
        <w:t>can only occur through provisions in Article IX of the Agreement.</w:t>
      </w:r>
      <w:bookmarkStart w:id="0" w:name="_GoBack"/>
      <w:bookmarkEnd w:id="0"/>
      <w:r w:rsidR="00ED3B88">
        <w:rPr>
          <w:b/>
        </w:rPr>
        <w:br w:type="column"/>
      </w:r>
      <w:r w:rsidR="00ED3B88">
        <w:rPr>
          <w:b/>
        </w:rPr>
        <w:lastRenderedPageBreak/>
        <w:t>Special Instructors</w:t>
      </w:r>
    </w:p>
    <w:p w:rsidR="00916557" w:rsidRDefault="00916557" w:rsidP="00C31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center"/>
        <w:rPr>
          <w:b/>
        </w:rPr>
      </w:pPr>
    </w:p>
    <w:p w:rsidR="00916557" w:rsidRDefault="00916557" w:rsidP="00916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sz w:val="20"/>
        </w:rPr>
      </w:pPr>
      <w:r>
        <w:rPr>
          <w:sz w:val="20"/>
        </w:rPr>
        <w:t>Full time faculty</w:t>
      </w:r>
    </w:p>
    <w:p w:rsidR="00916557" w:rsidRDefault="00916557" w:rsidP="00916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sz w:val="20"/>
        </w:rPr>
      </w:pPr>
    </w:p>
    <w:p w:rsidR="008E29D1" w:rsidRDefault="008E29D1" w:rsidP="008E2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sz w:val="20"/>
        </w:rPr>
      </w:pPr>
      <w:r>
        <w:rPr>
          <w:sz w:val="20"/>
        </w:rPr>
        <w:t>This group is expected to engage in teaching, and service to the university.</w:t>
      </w:r>
    </w:p>
    <w:p w:rsidR="008E29D1" w:rsidRDefault="008E29D1" w:rsidP="00916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sz w:val="20"/>
        </w:rPr>
      </w:pPr>
    </w:p>
    <w:p w:rsidR="00BA72B7" w:rsidRDefault="00916557" w:rsidP="00916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sz w:val="20"/>
        </w:rPr>
      </w:pPr>
      <w:r>
        <w:rPr>
          <w:sz w:val="20"/>
        </w:rPr>
        <w:t>Although not eligible for tenure, special in</w:t>
      </w:r>
      <w:r w:rsidR="00BA72B7">
        <w:rPr>
          <w:sz w:val="20"/>
        </w:rPr>
        <w:t xml:space="preserve">structors receive job security </w:t>
      </w:r>
      <w:r>
        <w:rPr>
          <w:sz w:val="20"/>
        </w:rPr>
        <w:t xml:space="preserve">if positively reviewed </w:t>
      </w:r>
      <w:r w:rsidR="00BA72B7">
        <w:rPr>
          <w:sz w:val="20"/>
        </w:rPr>
        <w:t>in the third review cycle described in Article VII of the Agreement.</w:t>
      </w:r>
    </w:p>
    <w:p w:rsidR="00BA72B7" w:rsidRDefault="00BA72B7" w:rsidP="00916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sz w:val="20"/>
        </w:rPr>
      </w:pPr>
    </w:p>
    <w:p w:rsidR="00EF3306" w:rsidRDefault="00BA72B7" w:rsidP="00BA7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sz w:val="20"/>
        </w:rPr>
      </w:pPr>
      <w:r>
        <w:rPr>
          <w:sz w:val="20"/>
        </w:rPr>
        <w:t xml:space="preserve">All </w:t>
      </w:r>
      <w:proofErr w:type="gramStart"/>
      <w:r>
        <w:rPr>
          <w:sz w:val="20"/>
        </w:rPr>
        <w:t>faculty</w:t>
      </w:r>
      <w:proofErr w:type="gramEnd"/>
      <w:r>
        <w:rPr>
          <w:sz w:val="20"/>
        </w:rPr>
        <w:t xml:space="preserve"> in this category are eligible for </w:t>
      </w:r>
      <w:r w:rsidR="00E2492D">
        <w:rPr>
          <w:sz w:val="20"/>
        </w:rPr>
        <w:t xml:space="preserve">all </w:t>
      </w:r>
      <w:r>
        <w:rPr>
          <w:sz w:val="20"/>
        </w:rPr>
        <w:t>the insurance provisions explained in Article XVI of the Agreement</w:t>
      </w:r>
      <w:r w:rsidR="008E29D1">
        <w:rPr>
          <w:sz w:val="20"/>
        </w:rPr>
        <w:t>.</w:t>
      </w:r>
    </w:p>
    <w:p w:rsidR="00EF3306" w:rsidRDefault="00EF3306" w:rsidP="00BA72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sz w:val="20"/>
        </w:rPr>
      </w:pPr>
    </w:p>
    <w:p w:rsidR="00BA72B7" w:rsidRPr="00677D19" w:rsidRDefault="00EF3306" w:rsidP="00E2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sz w:val="20"/>
        </w:rPr>
      </w:pPr>
      <w:r>
        <w:rPr>
          <w:sz w:val="20"/>
        </w:rPr>
        <w:t>Removal of job secured faculty can only occur through provisions in Article IX of the Agreement</w:t>
      </w:r>
      <w:proofErr w:type="gramStart"/>
      <w:r>
        <w:rPr>
          <w:sz w:val="20"/>
        </w:rPr>
        <w:t>.</w:t>
      </w:r>
      <w:r w:rsidR="00E2492D">
        <w:rPr>
          <w:sz w:val="20"/>
        </w:rPr>
        <w:t>.</w:t>
      </w:r>
      <w:proofErr w:type="gramEnd"/>
      <w:r w:rsidR="00E2492D">
        <w:rPr>
          <w:sz w:val="20"/>
        </w:rPr>
        <w:t xml:space="preserve"> </w:t>
      </w:r>
      <w:r w:rsidR="00BC1F1D">
        <w:rPr>
          <w:b/>
        </w:rPr>
        <w:br w:type="column"/>
      </w:r>
      <w:r w:rsidR="00D36AB6">
        <w:rPr>
          <w:b/>
        </w:rPr>
        <w:lastRenderedPageBreak/>
        <w:t xml:space="preserve">Research &amp; </w:t>
      </w:r>
      <w:proofErr w:type="gramStart"/>
      <w:r w:rsidR="00BC1F1D">
        <w:rPr>
          <w:b/>
        </w:rPr>
        <w:t>Full Time</w:t>
      </w:r>
      <w:proofErr w:type="gramEnd"/>
      <w:r w:rsidR="00BC1F1D">
        <w:rPr>
          <w:b/>
        </w:rPr>
        <w:t xml:space="preserve"> Adjunct</w:t>
      </w:r>
      <w:r w:rsidR="00D36AB6">
        <w:rPr>
          <w:b/>
        </w:rPr>
        <w:t>s</w:t>
      </w:r>
    </w:p>
    <w:p w:rsidR="00BA72B7" w:rsidRDefault="00BA72B7" w:rsidP="00E2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center"/>
        <w:rPr>
          <w:b/>
        </w:rPr>
      </w:pPr>
    </w:p>
    <w:p w:rsidR="00BA72B7" w:rsidRDefault="00BA72B7" w:rsidP="00E2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sz w:val="20"/>
        </w:rPr>
      </w:pPr>
      <w:r>
        <w:rPr>
          <w:sz w:val="20"/>
        </w:rPr>
        <w:t>Full time faculty</w:t>
      </w:r>
    </w:p>
    <w:p w:rsidR="00BA72B7" w:rsidRDefault="00BA72B7" w:rsidP="00E2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center"/>
        <w:rPr>
          <w:sz w:val="20"/>
        </w:rPr>
      </w:pPr>
    </w:p>
    <w:p w:rsidR="00BA72B7" w:rsidRDefault="00BA72B7" w:rsidP="00E2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sz w:val="20"/>
        </w:rPr>
      </w:pPr>
      <w:r>
        <w:rPr>
          <w:sz w:val="20"/>
        </w:rPr>
        <w:t xml:space="preserve">This group was created to </w:t>
      </w:r>
      <w:r w:rsidR="00D36AB6">
        <w:rPr>
          <w:sz w:val="20"/>
        </w:rPr>
        <w:t>assist in the research and teaching missions.</w:t>
      </w:r>
      <w:r>
        <w:rPr>
          <w:sz w:val="20"/>
        </w:rPr>
        <w:t xml:space="preserve">  </w:t>
      </w:r>
      <w:r w:rsidR="008E29D1">
        <w:rPr>
          <w:sz w:val="20"/>
        </w:rPr>
        <w:t xml:space="preserve">Work expectations should be enumerated in the hire documents.  </w:t>
      </w:r>
      <w:r>
        <w:rPr>
          <w:sz w:val="20"/>
        </w:rPr>
        <w:t>They are r</w:t>
      </w:r>
      <w:r w:rsidR="00D36AB6">
        <w:rPr>
          <w:sz w:val="20"/>
        </w:rPr>
        <w:t xml:space="preserve">anked as assistant, associate, or full </w:t>
      </w:r>
      <w:r>
        <w:rPr>
          <w:sz w:val="20"/>
        </w:rPr>
        <w:t>based on their levels of expertise.</w:t>
      </w:r>
    </w:p>
    <w:p w:rsidR="00BA72B7" w:rsidRDefault="00BA72B7" w:rsidP="00E2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sz w:val="20"/>
        </w:rPr>
      </w:pPr>
    </w:p>
    <w:p w:rsidR="00BA72B7" w:rsidRDefault="00BA72B7" w:rsidP="00E2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sz w:val="20"/>
        </w:rPr>
      </w:pPr>
      <w:r>
        <w:rPr>
          <w:sz w:val="20"/>
        </w:rPr>
        <w:t xml:space="preserve">These faculty are </w:t>
      </w:r>
      <w:r w:rsidR="00D36AB6">
        <w:rPr>
          <w:sz w:val="20"/>
        </w:rPr>
        <w:t xml:space="preserve">initially hired for a </w:t>
      </w:r>
      <w:proofErr w:type="gramStart"/>
      <w:r w:rsidR="00D36AB6">
        <w:rPr>
          <w:sz w:val="20"/>
        </w:rPr>
        <w:t>2 year</w:t>
      </w:r>
      <w:proofErr w:type="gramEnd"/>
      <w:r w:rsidR="00D36AB6">
        <w:rPr>
          <w:sz w:val="20"/>
        </w:rPr>
        <w:t xml:space="preserve"> term,</w:t>
      </w:r>
      <w:r>
        <w:rPr>
          <w:sz w:val="20"/>
        </w:rPr>
        <w:t xml:space="preserve"> but upon revie</w:t>
      </w:r>
      <w:r w:rsidR="00D36AB6">
        <w:rPr>
          <w:sz w:val="20"/>
        </w:rPr>
        <w:t>w, may be renewed for up to 5</w:t>
      </w:r>
      <w:r>
        <w:rPr>
          <w:sz w:val="20"/>
        </w:rPr>
        <w:t xml:space="preserve"> years.</w:t>
      </w:r>
    </w:p>
    <w:p w:rsidR="00BA72B7" w:rsidRDefault="00BA72B7" w:rsidP="00E2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sz w:val="20"/>
        </w:rPr>
      </w:pPr>
    </w:p>
    <w:p w:rsidR="00D36AB6" w:rsidRDefault="00BA72B7" w:rsidP="00E2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sz w:val="20"/>
        </w:rPr>
      </w:pPr>
      <w:r>
        <w:rPr>
          <w:sz w:val="20"/>
        </w:rPr>
        <w:t xml:space="preserve">All </w:t>
      </w:r>
      <w:proofErr w:type="gramStart"/>
      <w:r>
        <w:rPr>
          <w:sz w:val="20"/>
        </w:rPr>
        <w:t>faculty</w:t>
      </w:r>
      <w:proofErr w:type="gramEnd"/>
      <w:r>
        <w:rPr>
          <w:sz w:val="20"/>
        </w:rPr>
        <w:t xml:space="preserve"> in this category are eligible for </w:t>
      </w:r>
      <w:r w:rsidR="00E2492D">
        <w:rPr>
          <w:sz w:val="20"/>
        </w:rPr>
        <w:t xml:space="preserve">all </w:t>
      </w:r>
      <w:r>
        <w:rPr>
          <w:sz w:val="20"/>
        </w:rPr>
        <w:t>the insurance provisions explained in Article XVI of the Agreement</w:t>
      </w:r>
      <w:r w:rsidR="008E29D1">
        <w:rPr>
          <w:sz w:val="20"/>
        </w:rPr>
        <w:t>.</w:t>
      </w:r>
    </w:p>
    <w:p w:rsidR="00D36AB6" w:rsidRDefault="00D36AB6" w:rsidP="00E2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sz w:val="20"/>
        </w:rPr>
      </w:pPr>
    </w:p>
    <w:p w:rsidR="00EF3306" w:rsidRDefault="00D36AB6" w:rsidP="00E2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sz w:val="20"/>
        </w:rPr>
      </w:pPr>
      <w:proofErr w:type="gramStart"/>
      <w:r>
        <w:rPr>
          <w:sz w:val="20"/>
        </w:rPr>
        <w:t>These faculty</w:t>
      </w:r>
      <w:proofErr w:type="gramEnd"/>
      <w:r>
        <w:rPr>
          <w:sz w:val="20"/>
        </w:rPr>
        <w:t xml:space="preserve"> are not eligible for research or travel funds or paid leaves.</w:t>
      </w:r>
    </w:p>
    <w:p w:rsidR="00EF3306" w:rsidRDefault="00EF3306" w:rsidP="00E2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sz w:val="20"/>
        </w:rPr>
      </w:pPr>
    </w:p>
    <w:p w:rsidR="008E29D1" w:rsidRPr="00E2492D" w:rsidRDefault="00EF3306" w:rsidP="00E2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sz w:val="20"/>
        </w:rPr>
      </w:pPr>
      <w:r>
        <w:rPr>
          <w:sz w:val="20"/>
        </w:rPr>
        <w:t xml:space="preserve">Removal of </w:t>
      </w:r>
      <w:proofErr w:type="gramStart"/>
      <w:r>
        <w:rPr>
          <w:sz w:val="20"/>
        </w:rPr>
        <w:t>these faculty</w:t>
      </w:r>
      <w:proofErr w:type="gramEnd"/>
      <w:r>
        <w:rPr>
          <w:sz w:val="20"/>
        </w:rPr>
        <w:t xml:space="preserve"> may occur at the expiration of their contracts.</w:t>
      </w:r>
      <w:r w:rsidR="00E2492D">
        <w:rPr>
          <w:sz w:val="20"/>
        </w:rPr>
        <w:t xml:space="preserve"> </w:t>
      </w:r>
      <w:r w:rsidR="00C31609">
        <w:rPr>
          <w:b/>
        </w:rPr>
        <w:br w:type="column"/>
      </w:r>
      <w:r w:rsidR="00C31609">
        <w:rPr>
          <w:b/>
        </w:rPr>
        <w:lastRenderedPageBreak/>
        <w:t>Visiting Faculty</w:t>
      </w:r>
    </w:p>
    <w:p w:rsidR="008E29D1" w:rsidRDefault="008E29D1" w:rsidP="00E2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center"/>
        <w:rPr>
          <w:b/>
        </w:rPr>
      </w:pPr>
    </w:p>
    <w:p w:rsidR="007826AD" w:rsidRDefault="007826AD" w:rsidP="00E2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sz w:val="20"/>
        </w:rPr>
      </w:pPr>
    </w:p>
    <w:p w:rsidR="008E29D1" w:rsidRDefault="008E29D1" w:rsidP="00E2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sz w:val="20"/>
        </w:rPr>
      </w:pPr>
      <w:r>
        <w:rPr>
          <w:sz w:val="20"/>
        </w:rPr>
        <w:t>Full time faculty</w:t>
      </w:r>
    </w:p>
    <w:p w:rsidR="008E29D1" w:rsidRDefault="008E29D1" w:rsidP="00E2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sz w:val="20"/>
        </w:rPr>
      </w:pPr>
    </w:p>
    <w:p w:rsidR="008E29D1" w:rsidRDefault="008E29D1" w:rsidP="00E2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sz w:val="20"/>
        </w:rPr>
      </w:pPr>
      <w:r>
        <w:rPr>
          <w:sz w:val="20"/>
        </w:rPr>
        <w:t xml:space="preserve">This group was created to fill temporary expertise gaps in the curriculum. </w:t>
      </w:r>
      <w:r w:rsidR="00F84874">
        <w:rPr>
          <w:sz w:val="20"/>
        </w:rPr>
        <w:t xml:space="preserve">Work expectations should be enumerated in the hire documents.  </w:t>
      </w:r>
      <w:r>
        <w:rPr>
          <w:sz w:val="20"/>
        </w:rPr>
        <w:t>They are ranked as assistant</w:t>
      </w:r>
      <w:proofErr w:type="gramStart"/>
      <w:r>
        <w:rPr>
          <w:sz w:val="20"/>
        </w:rPr>
        <w:t>,  associate</w:t>
      </w:r>
      <w:proofErr w:type="gramEnd"/>
      <w:r>
        <w:rPr>
          <w:sz w:val="20"/>
        </w:rPr>
        <w:t>, or full based on their levels of expertise.</w:t>
      </w:r>
    </w:p>
    <w:p w:rsidR="008E29D1" w:rsidRDefault="008E29D1" w:rsidP="00E2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sz w:val="20"/>
        </w:rPr>
      </w:pPr>
    </w:p>
    <w:p w:rsidR="008E29D1" w:rsidRDefault="008E29D1" w:rsidP="00E2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sz w:val="20"/>
        </w:rPr>
      </w:pPr>
      <w:proofErr w:type="gramStart"/>
      <w:r>
        <w:rPr>
          <w:sz w:val="20"/>
        </w:rPr>
        <w:t>These faculty</w:t>
      </w:r>
      <w:proofErr w:type="gramEnd"/>
      <w:r>
        <w:rPr>
          <w:sz w:val="20"/>
        </w:rPr>
        <w:t xml:space="preserve"> are appointed for the term of their initial contracts, which shall not exceed four years.</w:t>
      </w:r>
      <w:r w:rsidR="00F84874">
        <w:rPr>
          <w:sz w:val="20"/>
        </w:rPr>
        <w:t xml:space="preserve">  Visiting faculty </w:t>
      </w:r>
      <w:proofErr w:type="gramStart"/>
      <w:r w:rsidR="00F84874">
        <w:rPr>
          <w:sz w:val="20"/>
        </w:rPr>
        <w:t>have</w:t>
      </w:r>
      <w:proofErr w:type="gramEnd"/>
      <w:r w:rsidR="00F84874">
        <w:rPr>
          <w:sz w:val="20"/>
        </w:rPr>
        <w:t xml:space="preserve"> no expectation of reappointment after the conclusion of their contracts.</w:t>
      </w:r>
    </w:p>
    <w:p w:rsidR="008E29D1" w:rsidRDefault="008E29D1" w:rsidP="00E2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sz w:val="20"/>
        </w:rPr>
      </w:pPr>
    </w:p>
    <w:p w:rsidR="00EF3306" w:rsidRDefault="008E29D1" w:rsidP="00E2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sz w:val="20"/>
        </w:rPr>
      </w:pPr>
      <w:r>
        <w:rPr>
          <w:sz w:val="20"/>
        </w:rPr>
        <w:t xml:space="preserve">All </w:t>
      </w:r>
      <w:proofErr w:type="gramStart"/>
      <w:r>
        <w:rPr>
          <w:sz w:val="20"/>
        </w:rPr>
        <w:t>faculty</w:t>
      </w:r>
      <w:proofErr w:type="gramEnd"/>
      <w:r>
        <w:rPr>
          <w:sz w:val="20"/>
        </w:rPr>
        <w:t xml:space="preserve"> in this category are eligible for </w:t>
      </w:r>
      <w:r w:rsidR="00E2492D">
        <w:rPr>
          <w:sz w:val="20"/>
        </w:rPr>
        <w:t xml:space="preserve">all </w:t>
      </w:r>
      <w:r>
        <w:rPr>
          <w:sz w:val="20"/>
        </w:rPr>
        <w:t>the insurance provisions explained in Article XVI of the Agreement.</w:t>
      </w:r>
      <w:r w:rsidR="00EF3306">
        <w:rPr>
          <w:sz w:val="20"/>
        </w:rPr>
        <w:t xml:space="preserve">  </w:t>
      </w:r>
    </w:p>
    <w:p w:rsidR="00EF3306" w:rsidRDefault="00EF3306" w:rsidP="00E2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sz w:val="20"/>
        </w:rPr>
      </w:pPr>
    </w:p>
    <w:p w:rsidR="00C31609" w:rsidRPr="008E29D1" w:rsidRDefault="00EF3306" w:rsidP="00E24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sz w:val="20"/>
        </w:rPr>
      </w:pPr>
      <w:r>
        <w:rPr>
          <w:sz w:val="20"/>
        </w:rPr>
        <w:t xml:space="preserve">Removal of </w:t>
      </w:r>
      <w:proofErr w:type="gramStart"/>
      <w:r>
        <w:rPr>
          <w:sz w:val="20"/>
        </w:rPr>
        <w:t>these faculty</w:t>
      </w:r>
      <w:proofErr w:type="gramEnd"/>
      <w:r>
        <w:rPr>
          <w:sz w:val="20"/>
        </w:rPr>
        <w:t xml:space="preserve"> may occur at th</w:t>
      </w:r>
      <w:r w:rsidR="00E2492D">
        <w:rPr>
          <w:sz w:val="20"/>
        </w:rPr>
        <w:t>e expiration of their contracts.</w:t>
      </w:r>
    </w:p>
    <w:p w:rsidR="008E29D1" w:rsidRDefault="00C31609" w:rsidP="00C31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center"/>
        <w:rPr>
          <w:b/>
        </w:rPr>
      </w:pPr>
      <w:r>
        <w:rPr>
          <w:b/>
        </w:rPr>
        <w:br w:type="column"/>
      </w:r>
      <w:r>
        <w:rPr>
          <w:b/>
        </w:rPr>
        <w:lastRenderedPageBreak/>
        <w:t>Special Lecturers</w:t>
      </w:r>
    </w:p>
    <w:p w:rsidR="008E29D1" w:rsidRDefault="008E29D1" w:rsidP="00C31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jc w:val="center"/>
        <w:rPr>
          <w:b/>
        </w:rPr>
      </w:pPr>
    </w:p>
    <w:p w:rsidR="00F84874" w:rsidRDefault="008E29D1" w:rsidP="008E2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sz w:val="20"/>
        </w:rPr>
      </w:pPr>
      <w:r>
        <w:rPr>
          <w:sz w:val="20"/>
        </w:rPr>
        <w:t>Part time faculty teaching at least 16 credits (with at least 8 credits in either the fall or winter terms</w:t>
      </w:r>
      <w:proofErr w:type="gramStart"/>
      <w:r>
        <w:rPr>
          <w:sz w:val="20"/>
        </w:rPr>
        <w:t>)</w:t>
      </w:r>
      <w:r w:rsidR="005B2324">
        <w:rPr>
          <w:sz w:val="20"/>
        </w:rPr>
        <w:t xml:space="preserve">  This</w:t>
      </w:r>
      <w:proofErr w:type="gramEnd"/>
      <w:r w:rsidR="005B2324">
        <w:rPr>
          <w:sz w:val="20"/>
        </w:rPr>
        <w:t xml:space="preserve"> is the second largest of the organized faculty groups.</w:t>
      </w:r>
    </w:p>
    <w:p w:rsidR="00F84874" w:rsidRDefault="00F84874" w:rsidP="008E2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sz w:val="20"/>
        </w:rPr>
      </w:pPr>
    </w:p>
    <w:p w:rsidR="008E29D1" w:rsidRDefault="00F84874" w:rsidP="008E2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sz w:val="20"/>
        </w:rPr>
      </w:pPr>
      <w:r>
        <w:rPr>
          <w:sz w:val="20"/>
        </w:rPr>
        <w:t>This group’s only responsibility is in the area of teaching.</w:t>
      </w:r>
    </w:p>
    <w:p w:rsidR="008E29D1" w:rsidRDefault="008E29D1" w:rsidP="008E29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sz w:val="20"/>
        </w:rPr>
      </w:pPr>
    </w:p>
    <w:p w:rsidR="00BC1F1D" w:rsidRDefault="00EF3306" w:rsidP="00EF3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sz w:val="20"/>
        </w:rPr>
      </w:pPr>
      <w:proofErr w:type="gramStart"/>
      <w:r>
        <w:rPr>
          <w:sz w:val="20"/>
        </w:rPr>
        <w:t>These faculty</w:t>
      </w:r>
      <w:proofErr w:type="gramEnd"/>
      <w:r>
        <w:rPr>
          <w:sz w:val="20"/>
        </w:rPr>
        <w:t xml:space="preserve"> have limited benefit rights described in Articles XVI and XVII of the Agreement.</w:t>
      </w:r>
    </w:p>
    <w:p w:rsidR="00BC1F1D" w:rsidRDefault="00BC1F1D" w:rsidP="00EF3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sz w:val="20"/>
        </w:rPr>
      </w:pPr>
    </w:p>
    <w:p w:rsidR="00EF3306" w:rsidRDefault="00BC1F1D" w:rsidP="00EF3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sz w:val="20"/>
        </w:rPr>
      </w:pPr>
      <w:proofErr w:type="gramStart"/>
      <w:r>
        <w:rPr>
          <w:sz w:val="20"/>
        </w:rPr>
        <w:t>These faculty</w:t>
      </w:r>
      <w:proofErr w:type="gramEnd"/>
      <w:r>
        <w:rPr>
          <w:sz w:val="20"/>
        </w:rPr>
        <w:t xml:space="preserve"> </w:t>
      </w:r>
      <w:r w:rsidR="00D36AB6">
        <w:rPr>
          <w:sz w:val="20"/>
        </w:rPr>
        <w:t>are the most vulnerable in the layoff and r</w:t>
      </w:r>
      <w:r>
        <w:rPr>
          <w:sz w:val="20"/>
        </w:rPr>
        <w:t>ecall process described in Article VIII of the Agreement.</w:t>
      </w:r>
    </w:p>
    <w:p w:rsidR="00EF3306" w:rsidRDefault="00EF3306" w:rsidP="00EF3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sz w:val="20"/>
        </w:rPr>
      </w:pPr>
    </w:p>
    <w:p w:rsidR="00C31609" w:rsidRPr="00EF3306" w:rsidRDefault="00EF3306" w:rsidP="00EF3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auto" w:fill="auto"/>
        <w:rPr>
          <w:sz w:val="20"/>
        </w:rPr>
      </w:pPr>
      <w:r>
        <w:rPr>
          <w:sz w:val="20"/>
        </w:rPr>
        <w:t xml:space="preserve">Removal of </w:t>
      </w:r>
      <w:proofErr w:type="gramStart"/>
      <w:r>
        <w:rPr>
          <w:sz w:val="20"/>
        </w:rPr>
        <w:t>these faculty</w:t>
      </w:r>
      <w:proofErr w:type="gramEnd"/>
      <w:r>
        <w:rPr>
          <w:sz w:val="20"/>
        </w:rPr>
        <w:t xml:space="preserve"> may occur at the expiration of their contracts.</w:t>
      </w:r>
    </w:p>
    <w:p w:rsidR="00C31609" w:rsidRPr="00C31609" w:rsidRDefault="00C31609" w:rsidP="00C31609">
      <w:pPr>
        <w:rPr>
          <w:b/>
        </w:rPr>
      </w:pPr>
    </w:p>
    <w:sectPr w:rsidR="00C31609" w:rsidRPr="00C31609" w:rsidSect="008042C1">
      <w:headerReference w:type="even" r:id="rId7"/>
      <w:headerReference w:type="default" r:id="rId8"/>
      <w:headerReference w:type="first" r:id="rId9"/>
      <w:pgSz w:w="15840" w:h="12240" w:orient="landscape"/>
      <w:pgMar w:top="1440" w:right="1440" w:bottom="1440" w:left="1440" w:header="720" w:footer="720" w:gutter="0"/>
      <w:pgNumType w:start="1"/>
      <w:cols w:num="5"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77D19">
      <w:r>
        <w:separator/>
      </w:r>
    </w:p>
  </w:endnote>
  <w:endnote w:type="continuationSeparator" w:id="0">
    <w:p w:rsidR="00000000" w:rsidRDefault="0067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77D19">
      <w:r>
        <w:separator/>
      </w:r>
    </w:p>
  </w:footnote>
  <w:footnote w:type="continuationSeparator" w:id="0">
    <w:p w:rsidR="00000000" w:rsidRDefault="00677D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5E7" w:rsidRDefault="00CD1C53" w:rsidP="00EF330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175E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75E7">
      <w:rPr>
        <w:rStyle w:val="PageNumber"/>
        <w:noProof/>
      </w:rPr>
      <w:t>2</w:t>
    </w:r>
    <w:r>
      <w:rPr>
        <w:rStyle w:val="PageNumber"/>
      </w:rPr>
      <w:fldChar w:fldCharType="end"/>
    </w:r>
  </w:p>
  <w:p w:rsidR="00B175E7" w:rsidRDefault="00B175E7" w:rsidP="00EF330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5E7" w:rsidRDefault="00CD1C53" w:rsidP="00EF330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175E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75E7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W w:w="4777" w:type="pct"/>
      <w:tblInd w:w="108" w:type="dxa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12011"/>
      <w:gridCol w:w="577"/>
    </w:tblGrid>
    <w:tr w:rsidR="00B175E7">
      <w:trPr>
        <w:trHeight w:val="255"/>
      </w:trPr>
      <w:tc>
        <w:tcPr>
          <w:tcW w:w="4771" w:type="pct"/>
          <w:shd w:val="clear" w:color="auto" w:fill="808080" w:themeFill="background1" w:themeFillShade="80"/>
          <w:vAlign w:val="center"/>
        </w:tcPr>
        <w:p w:rsidR="00B175E7" w:rsidRPr="00F84874" w:rsidRDefault="00B175E7" w:rsidP="00EF3306">
          <w:pPr>
            <w:pStyle w:val="Header"/>
            <w:ind w:right="360"/>
            <w:jc w:val="center"/>
            <w:rPr>
              <w:b/>
              <w:caps/>
              <w:color w:val="FFFFFF" w:themeColor="background1"/>
              <w:sz w:val="36"/>
            </w:rPr>
          </w:pPr>
          <w:r w:rsidRPr="00F84874">
            <w:rPr>
              <w:b/>
              <w:color w:val="FFFFFF" w:themeColor="background1"/>
              <w:sz w:val="36"/>
            </w:rPr>
            <w:t xml:space="preserve">BARGAINING UNIT FACULTY </w:t>
          </w:r>
        </w:p>
      </w:tc>
      <w:tc>
        <w:tcPr>
          <w:tcW w:w="229" w:type="pct"/>
          <w:tcBorders>
            <w:top w:val="thinThickLargeGap" w:sz="24" w:space="0" w:color="548DD4" w:themeColor="text2" w:themeTint="99"/>
            <w:bottom w:val="thickThinLargeGap" w:sz="24" w:space="0" w:color="548DD4" w:themeColor="text2" w:themeTint="99"/>
          </w:tcBorders>
          <w:shd w:val="clear" w:color="auto" w:fill="548DD4" w:themeFill="text2" w:themeFillTint="99"/>
        </w:tcPr>
        <w:p w:rsidR="00B175E7" w:rsidRDefault="00B175E7" w:rsidP="00F84874">
          <w:pPr>
            <w:pStyle w:val="Header"/>
            <w:rPr>
              <w:caps/>
              <w:color w:val="FFFFFF" w:themeColor="background1"/>
            </w:rPr>
          </w:pPr>
        </w:p>
      </w:tc>
    </w:tr>
  </w:tbl>
  <w:p w:rsidR="00B175E7" w:rsidRDefault="00B175E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5E7" w:rsidRDefault="00B175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09"/>
    <w:rsid w:val="000D2EA2"/>
    <w:rsid w:val="00192C87"/>
    <w:rsid w:val="005258B3"/>
    <w:rsid w:val="005B2324"/>
    <w:rsid w:val="00677D19"/>
    <w:rsid w:val="007826AD"/>
    <w:rsid w:val="008042C1"/>
    <w:rsid w:val="008E29D1"/>
    <w:rsid w:val="00916557"/>
    <w:rsid w:val="00B175E7"/>
    <w:rsid w:val="00BA72B7"/>
    <w:rsid w:val="00BC1F1D"/>
    <w:rsid w:val="00C31609"/>
    <w:rsid w:val="00CD1C53"/>
    <w:rsid w:val="00D36AB6"/>
    <w:rsid w:val="00E2492D"/>
    <w:rsid w:val="00ED3B88"/>
    <w:rsid w:val="00EF3306"/>
    <w:rsid w:val="00F848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8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874"/>
  </w:style>
  <w:style w:type="paragraph" w:styleId="Footer">
    <w:name w:val="footer"/>
    <w:basedOn w:val="Normal"/>
    <w:link w:val="FooterChar"/>
    <w:uiPriority w:val="99"/>
    <w:semiHidden/>
    <w:unhideWhenUsed/>
    <w:rsid w:val="00F848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4874"/>
  </w:style>
  <w:style w:type="table" w:styleId="LightShading-Accent1">
    <w:name w:val="Light Shading Accent 1"/>
    <w:basedOn w:val="TableNormal"/>
    <w:uiPriority w:val="60"/>
    <w:rsid w:val="00F84874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F848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8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874"/>
  </w:style>
  <w:style w:type="paragraph" w:styleId="Footer">
    <w:name w:val="footer"/>
    <w:basedOn w:val="Normal"/>
    <w:link w:val="FooterChar"/>
    <w:uiPriority w:val="99"/>
    <w:semiHidden/>
    <w:unhideWhenUsed/>
    <w:rsid w:val="00F848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4874"/>
  </w:style>
  <w:style w:type="table" w:styleId="LightShading-Accent1">
    <w:name w:val="Light Shading Accent 1"/>
    <w:basedOn w:val="TableNormal"/>
    <w:uiPriority w:val="60"/>
    <w:rsid w:val="00F84874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F84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2496</Characters>
  <Application>Microsoft Macintosh Word</Application>
  <DocSecurity>0</DocSecurity>
  <Lines>20</Lines>
  <Paragraphs>5</Paragraphs>
  <ScaleCrop>false</ScaleCrop>
  <Company>Oakland University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Miller</dc:creator>
  <cp:keywords/>
  <cp:lastModifiedBy>Christina M. Moore</cp:lastModifiedBy>
  <cp:revision>2</cp:revision>
  <cp:lastPrinted>2013-08-19T20:07:00Z</cp:lastPrinted>
  <dcterms:created xsi:type="dcterms:W3CDTF">2013-08-23T16:14:00Z</dcterms:created>
  <dcterms:modified xsi:type="dcterms:W3CDTF">2013-08-23T16:14:00Z</dcterms:modified>
</cp:coreProperties>
</file>