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F8F00" w14:textId="3296761F" w:rsidR="00B17E79" w:rsidRDefault="00B17E79" w:rsidP="00442379">
      <w:pPr>
        <w:jc w:val="center"/>
        <w:rPr>
          <w:b/>
        </w:rPr>
      </w:pPr>
      <w:bookmarkStart w:id="0" w:name="_GoBack"/>
      <w:bookmarkEnd w:id="0"/>
      <w:r>
        <w:rPr>
          <w:b/>
        </w:rPr>
        <w:t>Department of Reading and Language Arts</w:t>
      </w:r>
    </w:p>
    <w:p w14:paraId="45527675" w14:textId="75712CB6" w:rsidR="00BB287B" w:rsidRDefault="00595CA8" w:rsidP="00442379">
      <w:pPr>
        <w:jc w:val="center"/>
        <w:rPr>
          <w:b/>
        </w:rPr>
      </w:pPr>
      <w:r w:rsidRPr="00632618">
        <w:rPr>
          <w:b/>
        </w:rPr>
        <w:t>Fully On-Line</w:t>
      </w:r>
      <w:r w:rsidR="00632618">
        <w:rPr>
          <w:b/>
        </w:rPr>
        <w:t xml:space="preserve"> </w:t>
      </w:r>
      <w:r w:rsidR="00B17E79">
        <w:rPr>
          <w:b/>
        </w:rPr>
        <w:t xml:space="preserve">Master of Arts in Teaching (MAT) </w:t>
      </w:r>
      <w:r w:rsidR="00632618">
        <w:rPr>
          <w:b/>
        </w:rPr>
        <w:t>Program</w:t>
      </w:r>
      <w:r w:rsidR="00442379">
        <w:rPr>
          <w:b/>
        </w:rPr>
        <w:t xml:space="preserve"> Beginning in Fall 2016</w:t>
      </w:r>
    </w:p>
    <w:p w14:paraId="4066A8D1" w14:textId="3B311843" w:rsidR="000C3BB6" w:rsidRDefault="000C3BB6" w:rsidP="00442379">
      <w:pPr>
        <w:jc w:val="center"/>
        <w:rPr>
          <w:b/>
        </w:rPr>
      </w:pPr>
      <w:r>
        <w:rPr>
          <w:b/>
        </w:rPr>
        <w:t>Course Schedule and Sample Plan of Study</w:t>
      </w:r>
    </w:p>
    <w:p w14:paraId="7E517AC5" w14:textId="77777777" w:rsidR="006A6F4E" w:rsidRPr="00632618" w:rsidRDefault="006A6F4E" w:rsidP="00632618">
      <w:pPr>
        <w:spacing w:line="360" w:lineRule="auto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FFFFFF"/>
        <w:tblLook w:val="00A0" w:firstRow="1" w:lastRow="0" w:firstColumn="1" w:lastColumn="0" w:noHBand="0" w:noVBand="0"/>
      </w:tblPr>
      <w:tblGrid>
        <w:gridCol w:w="5626"/>
        <w:gridCol w:w="722"/>
        <w:gridCol w:w="1573"/>
        <w:gridCol w:w="817"/>
        <w:gridCol w:w="543"/>
      </w:tblGrid>
      <w:tr w:rsidR="00477558" w:rsidRPr="0061679B" w14:paraId="0ED257A4" w14:textId="77777777" w:rsidTr="00477558">
        <w:trPr>
          <w:jc w:val="center"/>
        </w:trPr>
        <w:tc>
          <w:tcPr>
            <w:tcW w:w="0" w:type="auto"/>
            <w:shd w:val="clear" w:color="auto" w:fill="B3B3B3"/>
          </w:tcPr>
          <w:p w14:paraId="083FDB69" w14:textId="77777777" w:rsidR="00477558" w:rsidRPr="0061679B" w:rsidRDefault="00477558" w:rsidP="003C79C1">
            <w:pPr>
              <w:jc w:val="center"/>
              <w:rPr>
                <w:rFonts w:asciiTheme="majorHAnsi" w:hAnsiTheme="majorHAnsi"/>
                <w:sz w:val="20"/>
              </w:rPr>
            </w:pPr>
            <w:r w:rsidRPr="0061679B">
              <w:rPr>
                <w:rFonts w:asciiTheme="majorHAnsi" w:hAnsiTheme="majorHAnsi"/>
                <w:b/>
                <w:sz w:val="20"/>
              </w:rPr>
              <w:t>Courses</w:t>
            </w:r>
          </w:p>
        </w:tc>
        <w:tc>
          <w:tcPr>
            <w:tcW w:w="0" w:type="auto"/>
            <w:shd w:val="clear" w:color="auto" w:fill="B3B3B3"/>
          </w:tcPr>
          <w:p w14:paraId="14D1097D" w14:textId="77777777" w:rsidR="00477558" w:rsidRPr="0061679B" w:rsidRDefault="00477558" w:rsidP="00175659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1679B">
              <w:rPr>
                <w:rFonts w:asciiTheme="majorHAnsi" w:hAnsiTheme="majorHAnsi"/>
                <w:b/>
                <w:sz w:val="20"/>
              </w:rPr>
              <w:t>Fall</w:t>
            </w:r>
          </w:p>
        </w:tc>
        <w:tc>
          <w:tcPr>
            <w:tcW w:w="0" w:type="auto"/>
            <w:shd w:val="clear" w:color="auto" w:fill="B3B3B3"/>
          </w:tcPr>
          <w:p w14:paraId="3265B8AF" w14:textId="77777777" w:rsidR="00477558" w:rsidRPr="0061679B" w:rsidRDefault="00477558" w:rsidP="00175659">
            <w:pPr>
              <w:pStyle w:val="Heading3"/>
              <w:spacing w:before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1679B">
              <w:rPr>
                <w:rFonts w:asciiTheme="majorHAnsi" w:hAnsiTheme="majorHAnsi"/>
                <w:sz w:val="20"/>
                <w:szCs w:val="20"/>
              </w:rPr>
              <w:t>Winter</w:t>
            </w:r>
          </w:p>
        </w:tc>
        <w:tc>
          <w:tcPr>
            <w:tcW w:w="0" w:type="auto"/>
            <w:shd w:val="clear" w:color="auto" w:fill="B3B3B3"/>
          </w:tcPr>
          <w:p w14:paraId="036AD4DD" w14:textId="77777777" w:rsidR="00477558" w:rsidRPr="0061679B" w:rsidRDefault="00477558" w:rsidP="00175659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1679B">
              <w:rPr>
                <w:rFonts w:asciiTheme="majorHAnsi" w:hAnsiTheme="majorHAnsi"/>
                <w:b/>
                <w:sz w:val="20"/>
              </w:rPr>
              <w:t>SU1</w:t>
            </w:r>
          </w:p>
        </w:tc>
        <w:tc>
          <w:tcPr>
            <w:tcW w:w="0" w:type="auto"/>
            <w:shd w:val="clear" w:color="auto" w:fill="B3B3B3"/>
          </w:tcPr>
          <w:p w14:paraId="3474DA1C" w14:textId="77777777" w:rsidR="00477558" w:rsidRPr="0061679B" w:rsidRDefault="00477558" w:rsidP="00175659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1679B">
              <w:rPr>
                <w:rFonts w:asciiTheme="majorHAnsi" w:hAnsiTheme="majorHAnsi"/>
                <w:b/>
                <w:sz w:val="20"/>
              </w:rPr>
              <w:t>SU7</w:t>
            </w:r>
          </w:p>
        </w:tc>
      </w:tr>
      <w:tr w:rsidR="00477558" w:rsidRPr="0061679B" w14:paraId="6CEC7BF9" w14:textId="77777777" w:rsidTr="00477558">
        <w:trPr>
          <w:jc w:val="center"/>
        </w:trPr>
        <w:tc>
          <w:tcPr>
            <w:tcW w:w="0" w:type="auto"/>
            <w:shd w:val="clear" w:color="auto" w:fill="auto"/>
          </w:tcPr>
          <w:p w14:paraId="1A5C4B00" w14:textId="77777777" w:rsidR="00477558" w:rsidRPr="0061679B" w:rsidRDefault="00477558" w:rsidP="00175659">
            <w:pPr>
              <w:rPr>
                <w:rFonts w:asciiTheme="majorHAnsi" w:hAnsiTheme="majorHAnsi"/>
                <w:sz w:val="20"/>
              </w:rPr>
            </w:pPr>
            <w:r w:rsidRPr="0061679B">
              <w:rPr>
                <w:rFonts w:asciiTheme="majorHAnsi" w:hAnsiTheme="majorHAnsi"/>
                <w:sz w:val="20"/>
              </w:rPr>
              <w:t>RDG 500: Foundations of Reading Instruction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B5FC11" w14:textId="77777777" w:rsidR="00477558" w:rsidRPr="00242662" w:rsidRDefault="00477558" w:rsidP="0024266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42662">
              <w:rPr>
                <w:rFonts w:asciiTheme="majorHAnsi" w:hAnsiTheme="majorHAnsi"/>
                <w:b/>
                <w:sz w:val="16"/>
                <w:szCs w:val="16"/>
              </w:rPr>
              <w:t>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93F371" w14:textId="03F1166A" w:rsidR="00477558" w:rsidRPr="00242662" w:rsidRDefault="00477558" w:rsidP="0024266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LW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EEF2AB" w14:textId="77777777" w:rsidR="00477558" w:rsidRPr="00242662" w:rsidRDefault="00477558" w:rsidP="0024266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CE061F1" w14:textId="77777777" w:rsidR="00477558" w:rsidRPr="00242662" w:rsidRDefault="00477558" w:rsidP="0024266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477558" w:rsidRPr="0061679B" w14:paraId="404C09AB" w14:textId="77777777" w:rsidTr="00477558">
        <w:trPr>
          <w:jc w:val="center"/>
        </w:trPr>
        <w:tc>
          <w:tcPr>
            <w:tcW w:w="0" w:type="auto"/>
            <w:shd w:val="clear" w:color="auto" w:fill="auto"/>
          </w:tcPr>
          <w:p w14:paraId="52872DA5" w14:textId="2C29C41B" w:rsidR="00477558" w:rsidRPr="006A6F4E" w:rsidRDefault="00477558" w:rsidP="006A6F4E">
            <w:pPr>
              <w:ind w:left="720" w:hanging="720"/>
              <w:rPr>
                <w:rFonts w:asciiTheme="majorHAnsi" w:hAnsiTheme="majorHAnsi"/>
                <w:sz w:val="20"/>
              </w:rPr>
            </w:pPr>
            <w:r w:rsidRPr="006A6F4E">
              <w:rPr>
                <w:rFonts w:asciiTheme="majorHAnsi" w:hAnsiTheme="majorHAnsi"/>
                <w:sz w:val="20"/>
              </w:rPr>
              <w:t>RDG 571, 573: Literature options</w:t>
            </w:r>
            <w:r w:rsidR="003C79C1">
              <w:rPr>
                <w:rFonts w:asciiTheme="majorHAnsi" w:hAnsiTheme="majorHAnsi"/>
                <w:sz w:val="20"/>
              </w:rPr>
              <w:t xml:space="preserve"> (only 1 required)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EEF925" w14:textId="77777777" w:rsidR="00477558" w:rsidRPr="006A6F4E" w:rsidRDefault="00477558" w:rsidP="0024266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A6F4E">
              <w:rPr>
                <w:rFonts w:asciiTheme="majorHAnsi" w:hAnsiTheme="majorHAnsi"/>
                <w:b/>
                <w:sz w:val="16"/>
                <w:szCs w:val="16"/>
              </w:rPr>
              <w:t>ON-571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D8D0FD" w14:textId="259F4E13" w:rsidR="00477558" w:rsidRPr="00242662" w:rsidRDefault="00477558" w:rsidP="006A6F4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A6F4E">
              <w:rPr>
                <w:rFonts w:asciiTheme="majorHAnsi" w:hAnsiTheme="majorHAnsi"/>
                <w:b/>
                <w:sz w:val="16"/>
                <w:szCs w:val="16"/>
              </w:rPr>
              <w:t>ON-573 (even</w:t>
            </w:r>
            <w:r w:rsidR="00F31177">
              <w:rPr>
                <w:rFonts w:asciiTheme="majorHAnsi" w:hAnsiTheme="majorHAnsi"/>
                <w:b/>
                <w:sz w:val="16"/>
                <w:szCs w:val="16"/>
              </w:rPr>
              <w:t xml:space="preserve"> years</w:t>
            </w:r>
            <w:r w:rsidRPr="006A6F4E">
              <w:rPr>
                <w:rFonts w:asciiTheme="majorHAnsi" w:hAnsiTheme="majorHAnsi"/>
                <w:b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D65DDD" w14:textId="3759B856" w:rsidR="00477558" w:rsidRPr="00242662" w:rsidRDefault="00477558" w:rsidP="0024266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DBCCF6" w14:textId="77777777" w:rsidR="00477558" w:rsidRPr="00242662" w:rsidRDefault="00477558" w:rsidP="0024266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477558" w:rsidRPr="0061679B" w14:paraId="1F8B6724" w14:textId="77777777" w:rsidTr="00477558">
        <w:trPr>
          <w:jc w:val="center"/>
        </w:trPr>
        <w:tc>
          <w:tcPr>
            <w:tcW w:w="0" w:type="auto"/>
            <w:shd w:val="clear" w:color="auto" w:fill="auto"/>
          </w:tcPr>
          <w:p w14:paraId="401BCB06" w14:textId="77777777" w:rsidR="00477558" w:rsidRPr="0061679B" w:rsidRDefault="00477558" w:rsidP="00175659">
            <w:pPr>
              <w:ind w:left="720" w:hanging="720"/>
              <w:rPr>
                <w:rFonts w:asciiTheme="majorHAnsi" w:hAnsiTheme="majorHAnsi"/>
                <w:sz w:val="20"/>
              </w:rPr>
            </w:pPr>
            <w:r w:rsidRPr="0061679B">
              <w:rPr>
                <w:rFonts w:asciiTheme="majorHAnsi" w:hAnsiTheme="majorHAnsi"/>
                <w:sz w:val="20"/>
              </w:rPr>
              <w:t xml:space="preserve">RDG 575: Teaching Writing in the Elementary </w:t>
            </w:r>
            <w:r>
              <w:rPr>
                <w:rFonts w:asciiTheme="majorHAnsi" w:hAnsiTheme="majorHAnsi"/>
                <w:sz w:val="20"/>
              </w:rPr>
              <w:t>&amp;</w:t>
            </w:r>
            <w:r w:rsidRPr="0061679B">
              <w:rPr>
                <w:rFonts w:asciiTheme="majorHAnsi" w:hAnsiTheme="majorHAnsi"/>
                <w:sz w:val="20"/>
              </w:rPr>
              <w:t xml:space="preserve"> Secondary Schools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488039" w14:textId="52F58A51" w:rsidR="00477558" w:rsidRPr="00242662" w:rsidRDefault="00477558" w:rsidP="0024266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LW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6BB26B" w14:textId="77777777" w:rsidR="00477558" w:rsidRPr="00242662" w:rsidRDefault="00477558" w:rsidP="0024266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42662">
              <w:rPr>
                <w:rFonts w:asciiTheme="majorHAnsi" w:hAnsiTheme="majorHAnsi"/>
                <w:b/>
                <w:sz w:val="16"/>
                <w:szCs w:val="16"/>
              </w:rPr>
              <w:t>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A8970D" w14:textId="77777777" w:rsidR="00477558" w:rsidRPr="00242662" w:rsidRDefault="00477558" w:rsidP="0024266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B7A1F1" w14:textId="77777777" w:rsidR="00477558" w:rsidRPr="00242662" w:rsidRDefault="00477558" w:rsidP="0024266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477558" w:rsidRPr="0061679B" w14:paraId="6213BE55" w14:textId="77777777" w:rsidTr="00477558">
        <w:trPr>
          <w:jc w:val="center"/>
        </w:trPr>
        <w:tc>
          <w:tcPr>
            <w:tcW w:w="0" w:type="auto"/>
            <w:shd w:val="clear" w:color="auto" w:fill="auto"/>
          </w:tcPr>
          <w:p w14:paraId="42008235" w14:textId="77777777" w:rsidR="00477558" w:rsidRPr="0061679B" w:rsidRDefault="00477558" w:rsidP="00175659">
            <w:pPr>
              <w:rPr>
                <w:rFonts w:asciiTheme="majorHAnsi" w:hAnsiTheme="majorHAnsi"/>
                <w:sz w:val="20"/>
              </w:rPr>
            </w:pPr>
            <w:r w:rsidRPr="0061679B">
              <w:rPr>
                <w:rFonts w:asciiTheme="majorHAnsi" w:hAnsiTheme="majorHAnsi"/>
                <w:sz w:val="20"/>
              </w:rPr>
              <w:t>RDG 632: Diagnosis of Reading Disabilities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8FF296" w14:textId="6FCFFCD4" w:rsidR="00477558" w:rsidRPr="00242662" w:rsidRDefault="00477558" w:rsidP="0024266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5A3B56" w14:textId="77777777" w:rsidR="00477558" w:rsidRPr="00242662" w:rsidRDefault="00477558" w:rsidP="0024266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42662">
              <w:rPr>
                <w:rFonts w:asciiTheme="majorHAnsi" w:hAnsiTheme="majorHAnsi"/>
                <w:b/>
                <w:sz w:val="16"/>
                <w:szCs w:val="16"/>
              </w:rPr>
              <w:t>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A319B9" w14:textId="77777777" w:rsidR="00477558" w:rsidRPr="00242662" w:rsidRDefault="00477558" w:rsidP="00242662">
            <w:pPr>
              <w:tabs>
                <w:tab w:val="center" w:pos="211"/>
              </w:tabs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1EB2FC" w14:textId="77777777" w:rsidR="00477558" w:rsidRPr="00242662" w:rsidRDefault="00477558" w:rsidP="0024266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477558" w:rsidRPr="0061679B" w14:paraId="76BC1FF1" w14:textId="77777777" w:rsidTr="00477558">
        <w:trPr>
          <w:jc w:val="center"/>
        </w:trPr>
        <w:tc>
          <w:tcPr>
            <w:tcW w:w="0" w:type="auto"/>
            <w:shd w:val="clear" w:color="auto" w:fill="auto"/>
          </w:tcPr>
          <w:p w14:paraId="2A79A171" w14:textId="77777777" w:rsidR="00477558" w:rsidRPr="0061679B" w:rsidRDefault="00477558" w:rsidP="00175659">
            <w:pPr>
              <w:rPr>
                <w:rFonts w:asciiTheme="majorHAnsi" w:hAnsiTheme="majorHAnsi"/>
                <w:sz w:val="20"/>
              </w:rPr>
            </w:pPr>
            <w:r w:rsidRPr="0061679B">
              <w:rPr>
                <w:rFonts w:asciiTheme="majorHAnsi" w:hAnsiTheme="majorHAnsi"/>
                <w:sz w:val="20"/>
              </w:rPr>
              <w:t>RDG 633: Correction of Reading Disabilities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33285F" w14:textId="77777777" w:rsidR="00477558" w:rsidRPr="00242662" w:rsidRDefault="00477558" w:rsidP="0024266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0A08075" w14:textId="0A6F6DD7" w:rsidR="00477558" w:rsidRPr="00242662" w:rsidRDefault="00477558" w:rsidP="0024266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6CC7F8" w14:textId="77777777" w:rsidR="00477558" w:rsidRPr="00242662" w:rsidRDefault="00477558" w:rsidP="0024266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42662">
              <w:rPr>
                <w:rFonts w:asciiTheme="majorHAnsi" w:hAnsiTheme="majorHAnsi"/>
                <w:b/>
                <w:sz w:val="16"/>
                <w:szCs w:val="16"/>
              </w:rPr>
              <w:t>ON-clinic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40492B" w14:textId="77777777" w:rsidR="00477558" w:rsidRPr="00242662" w:rsidRDefault="00477558" w:rsidP="0024266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477558" w:rsidRPr="0061679B" w14:paraId="1A3189AD" w14:textId="77777777" w:rsidTr="00477558">
        <w:trPr>
          <w:jc w:val="center"/>
        </w:trPr>
        <w:tc>
          <w:tcPr>
            <w:tcW w:w="0" w:type="auto"/>
            <w:shd w:val="clear" w:color="auto" w:fill="auto"/>
          </w:tcPr>
          <w:p w14:paraId="2A225EA8" w14:textId="77777777" w:rsidR="00477558" w:rsidRPr="0061679B" w:rsidRDefault="00477558" w:rsidP="00175659">
            <w:pPr>
              <w:rPr>
                <w:rFonts w:asciiTheme="majorHAnsi" w:hAnsiTheme="majorHAnsi"/>
                <w:sz w:val="20"/>
              </w:rPr>
            </w:pPr>
            <w:r w:rsidRPr="0061679B">
              <w:rPr>
                <w:rFonts w:asciiTheme="majorHAnsi" w:hAnsiTheme="majorHAnsi"/>
                <w:sz w:val="20"/>
              </w:rPr>
              <w:t>RDG 699: Master’s Project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96217C" w14:textId="77777777" w:rsidR="00477558" w:rsidRPr="00242662" w:rsidRDefault="00477558" w:rsidP="0024266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42662">
              <w:rPr>
                <w:rFonts w:asciiTheme="majorHAnsi" w:hAnsiTheme="majorHAnsi"/>
                <w:b/>
                <w:sz w:val="16"/>
                <w:szCs w:val="16"/>
              </w:rPr>
              <w:t>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8F4C58" w14:textId="77777777" w:rsidR="00477558" w:rsidRPr="00242662" w:rsidRDefault="00477558" w:rsidP="0024266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42662">
              <w:rPr>
                <w:rFonts w:asciiTheme="majorHAnsi" w:hAnsiTheme="majorHAnsi"/>
                <w:b/>
                <w:sz w:val="16"/>
                <w:szCs w:val="16"/>
              </w:rPr>
              <w:t>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708B95" w14:textId="77777777" w:rsidR="00477558" w:rsidRPr="00242662" w:rsidRDefault="00477558" w:rsidP="0024266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42662">
              <w:rPr>
                <w:rFonts w:asciiTheme="majorHAnsi" w:hAnsiTheme="majorHAnsi"/>
                <w:b/>
                <w:sz w:val="16"/>
                <w:szCs w:val="16"/>
              </w:rPr>
              <w:t>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A7B523" w14:textId="77777777" w:rsidR="00477558" w:rsidRPr="00242662" w:rsidRDefault="00477558" w:rsidP="0024266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42662">
              <w:rPr>
                <w:rFonts w:asciiTheme="majorHAnsi" w:hAnsiTheme="majorHAnsi"/>
                <w:b/>
                <w:sz w:val="16"/>
                <w:szCs w:val="16"/>
              </w:rPr>
              <w:t>ON</w:t>
            </w:r>
          </w:p>
        </w:tc>
      </w:tr>
      <w:tr w:rsidR="00477558" w:rsidRPr="0061679B" w14:paraId="185A48A4" w14:textId="77777777" w:rsidTr="00477558">
        <w:trPr>
          <w:jc w:val="center"/>
        </w:trPr>
        <w:tc>
          <w:tcPr>
            <w:tcW w:w="0" w:type="auto"/>
            <w:shd w:val="clear" w:color="auto" w:fill="auto"/>
          </w:tcPr>
          <w:p w14:paraId="797B82B1" w14:textId="77777777" w:rsidR="00477558" w:rsidRPr="0061679B" w:rsidRDefault="00477558" w:rsidP="00175659">
            <w:pPr>
              <w:ind w:left="720" w:hanging="720"/>
              <w:rPr>
                <w:rFonts w:asciiTheme="majorHAnsi" w:hAnsiTheme="majorHAnsi"/>
                <w:sz w:val="20"/>
              </w:rPr>
            </w:pPr>
            <w:r w:rsidRPr="0061679B">
              <w:rPr>
                <w:rFonts w:asciiTheme="majorHAnsi" w:hAnsiTheme="majorHAnsi"/>
                <w:sz w:val="20"/>
              </w:rPr>
              <w:t>RDG 538: Reading/Learning in Content Subjects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51C022" w14:textId="77777777" w:rsidR="00477558" w:rsidRPr="00242662" w:rsidRDefault="00477558" w:rsidP="0024266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42662">
              <w:rPr>
                <w:rFonts w:asciiTheme="majorHAnsi" w:hAnsiTheme="majorHAnsi"/>
                <w:b/>
                <w:sz w:val="16"/>
                <w:szCs w:val="16"/>
              </w:rPr>
              <w:t>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448754" w14:textId="77777777" w:rsidR="00477558" w:rsidRPr="00242662" w:rsidRDefault="00477558" w:rsidP="0024266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42662">
              <w:rPr>
                <w:rFonts w:asciiTheme="majorHAnsi" w:hAnsiTheme="majorHAnsi"/>
                <w:b/>
                <w:sz w:val="16"/>
                <w:szCs w:val="16"/>
              </w:rPr>
              <w:t>LW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089D73" w14:textId="77777777" w:rsidR="00477558" w:rsidRPr="00242662" w:rsidRDefault="00477558" w:rsidP="0024266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42662">
              <w:rPr>
                <w:rFonts w:asciiTheme="majorHAnsi" w:hAnsiTheme="majorHAnsi"/>
                <w:b/>
                <w:sz w:val="16"/>
                <w:szCs w:val="16"/>
              </w:rPr>
              <w:t>LW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8D08E4" w14:textId="77777777" w:rsidR="00477558" w:rsidRPr="00242662" w:rsidRDefault="00477558" w:rsidP="0024266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477558" w:rsidRPr="0061679B" w14:paraId="5D8075F4" w14:textId="77777777" w:rsidTr="00477558">
        <w:trPr>
          <w:jc w:val="center"/>
        </w:trPr>
        <w:tc>
          <w:tcPr>
            <w:tcW w:w="0" w:type="auto"/>
            <w:shd w:val="clear" w:color="auto" w:fill="auto"/>
          </w:tcPr>
          <w:p w14:paraId="5AA169E2" w14:textId="77777777" w:rsidR="00477558" w:rsidRPr="0061679B" w:rsidRDefault="00477558" w:rsidP="00175659">
            <w:pPr>
              <w:ind w:left="720" w:hanging="720"/>
              <w:rPr>
                <w:rFonts w:asciiTheme="majorHAnsi" w:hAnsiTheme="majorHAnsi"/>
                <w:sz w:val="20"/>
              </w:rPr>
            </w:pPr>
            <w:r w:rsidRPr="0061679B">
              <w:rPr>
                <w:rFonts w:asciiTheme="majorHAnsi" w:hAnsiTheme="majorHAnsi"/>
                <w:sz w:val="20"/>
              </w:rPr>
              <w:t>RDG 540: Leadership Literacy Instruction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67E6AE" w14:textId="77777777" w:rsidR="00477558" w:rsidRPr="00242662" w:rsidRDefault="00477558" w:rsidP="0024266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42662">
              <w:rPr>
                <w:rFonts w:asciiTheme="majorHAnsi" w:hAnsiTheme="majorHAnsi"/>
                <w:b/>
                <w:sz w:val="16"/>
                <w:szCs w:val="16"/>
              </w:rPr>
              <w:t>LW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098A6A" w14:textId="77777777" w:rsidR="00477558" w:rsidRPr="00242662" w:rsidRDefault="00477558" w:rsidP="0024266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42662">
              <w:rPr>
                <w:rFonts w:asciiTheme="majorHAnsi" w:hAnsiTheme="majorHAnsi"/>
                <w:b/>
                <w:sz w:val="16"/>
                <w:szCs w:val="16"/>
              </w:rPr>
              <w:t>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0FB8E3" w14:textId="77777777" w:rsidR="00477558" w:rsidRPr="00242662" w:rsidRDefault="00477558" w:rsidP="0024266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348EAC" w14:textId="77777777" w:rsidR="00477558" w:rsidRPr="00242662" w:rsidRDefault="00477558" w:rsidP="0024266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477558" w:rsidRPr="0061679B" w14:paraId="7528F8E6" w14:textId="77777777" w:rsidTr="00477558">
        <w:trPr>
          <w:jc w:val="center"/>
        </w:trPr>
        <w:tc>
          <w:tcPr>
            <w:tcW w:w="0" w:type="auto"/>
            <w:shd w:val="clear" w:color="auto" w:fill="auto"/>
          </w:tcPr>
          <w:p w14:paraId="243A0B54" w14:textId="77777777" w:rsidR="00477558" w:rsidRPr="0061679B" w:rsidRDefault="00477558" w:rsidP="00175659">
            <w:pPr>
              <w:ind w:left="720" w:hanging="720"/>
              <w:rPr>
                <w:rFonts w:asciiTheme="majorHAnsi" w:hAnsiTheme="majorHAnsi"/>
                <w:sz w:val="20"/>
              </w:rPr>
            </w:pPr>
            <w:r w:rsidRPr="0061679B">
              <w:rPr>
                <w:rFonts w:asciiTheme="majorHAnsi" w:hAnsiTheme="majorHAnsi"/>
                <w:sz w:val="20"/>
              </w:rPr>
              <w:t>RDG 590: Independent Study in Reading &amp; Language Arts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D14864" w14:textId="77777777" w:rsidR="00477558" w:rsidRPr="00242662" w:rsidRDefault="00477558" w:rsidP="0024266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42662">
              <w:rPr>
                <w:rFonts w:asciiTheme="majorHAnsi" w:hAnsiTheme="majorHAnsi"/>
                <w:b/>
                <w:sz w:val="16"/>
                <w:szCs w:val="16"/>
              </w:rPr>
              <w:t>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D30AFB" w14:textId="77777777" w:rsidR="00477558" w:rsidRPr="00242662" w:rsidRDefault="00477558" w:rsidP="0024266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42662">
              <w:rPr>
                <w:rFonts w:asciiTheme="majorHAnsi" w:hAnsiTheme="majorHAnsi"/>
                <w:b/>
                <w:sz w:val="16"/>
                <w:szCs w:val="16"/>
              </w:rPr>
              <w:t>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59132E" w14:textId="77777777" w:rsidR="00477558" w:rsidRPr="00242662" w:rsidRDefault="00477558" w:rsidP="0024266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42662">
              <w:rPr>
                <w:rFonts w:asciiTheme="majorHAnsi" w:hAnsiTheme="majorHAnsi"/>
                <w:b/>
                <w:sz w:val="16"/>
                <w:szCs w:val="16"/>
              </w:rPr>
              <w:t>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4196F1" w14:textId="77777777" w:rsidR="00477558" w:rsidRPr="00242662" w:rsidRDefault="00477558" w:rsidP="0024266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42662">
              <w:rPr>
                <w:rFonts w:asciiTheme="majorHAnsi" w:hAnsiTheme="majorHAnsi"/>
                <w:b/>
                <w:sz w:val="16"/>
                <w:szCs w:val="16"/>
              </w:rPr>
              <w:t>ON</w:t>
            </w:r>
          </w:p>
        </w:tc>
      </w:tr>
    </w:tbl>
    <w:p w14:paraId="3FE187D1" w14:textId="77777777" w:rsidR="00595CA8" w:rsidRDefault="00595CA8"/>
    <w:p w14:paraId="63E5B507" w14:textId="77777777" w:rsidR="000D4A10" w:rsidRDefault="000D4A10"/>
    <w:tbl>
      <w:tblPr>
        <w:tblW w:w="0" w:type="auto"/>
        <w:jc w:val="center"/>
        <w:tblCellSpacing w:w="0" w:type="dxa"/>
        <w:tblBorders>
          <w:top w:val="outset" w:sz="8" w:space="0" w:color="D2B48C"/>
          <w:left w:val="outset" w:sz="8" w:space="0" w:color="D2B48C"/>
          <w:bottom w:val="outset" w:sz="8" w:space="0" w:color="D2B48C"/>
          <w:right w:val="outset" w:sz="8" w:space="0" w:color="D2B48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1602"/>
        <w:gridCol w:w="6828"/>
      </w:tblGrid>
      <w:tr w:rsidR="000D4A10" w:rsidRPr="00511EB6" w14:paraId="29CA4319" w14:textId="77777777" w:rsidTr="00076F06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D2B48C"/>
              <w:left w:val="outset" w:sz="8" w:space="0" w:color="D2B48C"/>
              <w:bottom w:val="outset" w:sz="8" w:space="0" w:color="D2B48C"/>
              <w:right w:val="outset" w:sz="8" w:space="0" w:color="D2B48C"/>
            </w:tcBorders>
            <w:shd w:val="clear" w:color="auto" w:fill="F5F5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65A9DC" w14:textId="77777777" w:rsidR="000D4A10" w:rsidRPr="00511EB6" w:rsidRDefault="000D4A10" w:rsidP="00076F06">
            <w:pPr>
              <w:rPr>
                <w:rFonts w:ascii="Times New Roman" w:eastAsia="Times New Roman" w:hAnsi="Times New Roman"/>
                <w:color w:val="222222"/>
                <w:sz w:val="20"/>
              </w:rPr>
            </w:pPr>
            <w:r w:rsidRPr="00511EB6">
              <w:rPr>
                <w:rFonts w:ascii="Times New Roman" w:eastAsia="Times New Roman" w:hAnsi="Times New Roman"/>
                <w:b/>
                <w:bCs/>
                <w:color w:val="222222"/>
                <w:sz w:val="20"/>
              </w:rPr>
              <w:t>Code</w:t>
            </w:r>
          </w:p>
        </w:tc>
        <w:tc>
          <w:tcPr>
            <w:tcW w:w="0" w:type="auto"/>
            <w:tcBorders>
              <w:top w:val="outset" w:sz="8" w:space="0" w:color="D2B48C"/>
              <w:left w:val="outset" w:sz="8" w:space="0" w:color="D2B48C"/>
              <w:bottom w:val="outset" w:sz="8" w:space="0" w:color="D2B48C"/>
              <w:right w:val="outset" w:sz="8" w:space="0" w:color="D2B48C"/>
            </w:tcBorders>
            <w:shd w:val="clear" w:color="auto" w:fill="F5F5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322A65" w14:textId="77777777" w:rsidR="000D4A10" w:rsidRPr="00511EB6" w:rsidRDefault="000D4A10" w:rsidP="00076F06">
            <w:pPr>
              <w:rPr>
                <w:rFonts w:ascii="Times New Roman" w:eastAsia="Times New Roman" w:hAnsi="Times New Roman"/>
                <w:color w:val="222222"/>
                <w:sz w:val="20"/>
              </w:rPr>
            </w:pPr>
            <w:r w:rsidRPr="00511EB6">
              <w:rPr>
                <w:rFonts w:ascii="Times New Roman" w:eastAsia="Times New Roman" w:hAnsi="Times New Roman"/>
                <w:b/>
                <w:bCs/>
                <w:color w:val="222222"/>
                <w:sz w:val="20"/>
              </w:rPr>
              <w:t>Name</w:t>
            </w:r>
          </w:p>
        </w:tc>
        <w:tc>
          <w:tcPr>
            <w:tcW w:w="0" w:type="auto"/>
            <w:tcBorders>
              <w:top w:val="outset" w:sz="8" w:space="0" w:color="D2B48C"/>
              <w:left w:val="outset" w:sz="8" w:space="0" w:color="D2B48C"/>
              <w:bottom w:val="outset" w:sz="8" w:space="0" w:color="D2B48C"/>
              <w:right w:val="outset" w:sz="8" w:space="0" w:color="D2B48C"/>
            </w:tcBorders>
            <w:shd w:val="clear" w:color="auto" w:fill="F5F5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915DD9" w14:textId="77777777" w:rsidR="000D4A10" w:rsidRPr="00511EB6" w:rsidRDefault="000D4A10" w:rsidP="00076F06">
            <w:pPr>
              <w:rPr>
                <w:rFonts w:ascii="Times New Roman" w:eastAsia="Times New Roman" w:hAnsi="Times New Roman"/>
                <w:color w:val="222222"/>
                <w:sz w:val="20"/>
              </w:rPr>
            </w:pPr>
            <w:r w:rsidRPr="00511EB6">
              <w:rPr>
                <w:rFonts w:ascii="Times New Roman" w:eastAsia="Times New Roman" w:hAnsi="Times New Roman"/>
                <w:b/>
                <w:bCs/>
                <w:color w:val="222222"/>
                <w:sz w:val="20"/>
              </w:rPr>
              <w:t>Description</w:t>
            </w:r>
          </w:p>
        </w:tc>
      </w:tr>
      <w:tr w:rsidR="000D4A10" w:rsidRPr="00511EB6" w14:paraId="7D151F60" w14:textId="77777777" w:rsidTr="00076F06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D2B48C"/>
              <w:left w:val="outset" w:sz="8" w:space="0" w:color="D2B48C"/>
              <w:bottom w:val="outset" w:sz="8" w:space="0" w:color="D2B48C"/>
              <w:right w:val="outset" w:sz="8" w:space="0" w:color="D2B48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7CD3E6" w14:textId="77777777" w:rsidR="000D4A10" w:rsidRPr="00511EB6" w:rsidRDefault="000D4A10" w:rsidP="000D4A10">
            <w:pPr>
              <w:jc w:val="center"/>
              <w:rPr>
                <w:rFonts w:ascii="Times New Roman" w:eastAsia="Times New Roman" w:hAnsi="Times New Roman"/>
                <w:color w:val="222222"/>
                <w:sz w:val="20"/>
              </w:rPr>
            </w:pPr>
            <w:r w:rsidRPr="00511EB6">
              <w:rPr>
                <w:rFonts w:ascii="Times New Roman" w:eastAsia="Times New Roman" w:hAnsi="Times New Roman"/>
                <w:b/>
                <w:bCs/>
                <w:color w:val="222222"/>
                <w:sz w:val="20"/>
              </w:rPr>
              <w:t>ON</w:t>
            </w:r>
          </w:p>
        </w:tc>
        <w:tc>
          <w:tcPr>
            <w:tcW w:w="0" w:type="auto"/>
            <w:tcBorders>
              <w:top w:val="outset" w:sz="8" w:space="0" w:color="D2B48C"/>
              <w:left w:val="outset" w:sz="8" w:space="0" w:color="D2B48C"/>
              <w:bottom w:val="outset" w:sz="8" w:space="0" w:color="D2B48C"/>
              <w:right w:val="outset" w:sz="8" w:space="0" w:color="D2B48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2D9F2C7" w14:textId="77777777" w:rsidR="000D4A10" w:rsidRPr="00511EB6" w:rsidRDefault="000D4A10" w:rsidP="00076F06">
            <w:pPr>
              <w:rPr>
                <w:rFonts w:ascii="Times New Roman" w:eastAsia="Times New Roman" w:hAnsi="Times New Roman"/>
                <w:color w:val="222222"/>
                <w:sz w:val="20"/>
              </w:rPr>
            </w:pPr>
            <w:r w:rsidRPr="00511EB6">
              <w:rPr>
                <w:rFonts w:ascii="Times New Roman" w:eastAsia="Times New Roman" w:hAnsi="Times New Roman"/>
                <w:color w:val="222222"/>
                <w:sz w:val="20"/>
              </w:rPr>
              <w:t>Fully Online</w:t>
            </w:r>
          </w:p>
        </w:tc>
        <w:tc>
          <w:tcPr>
            <w:tcW w:w="0" w:type="auto"/>
            <w:tcBorders>
              <w:top w:val="outset" w:sz="8" w:space="0" w:color="D2B48C"/>
              <w:left w:val="outset" w:sz="8" w:space="0" w:color="D2B48C"/>
              <w:bottom w:val="outset" w:sz="8" w:space="0" w:color="D2B48C"/>
              <w:right w:val="outset" w:sz="8" w:space="0" w:color="D2B48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E43760F" w14:textId="5F0C44D3" w:rsidR="000D4A10" w:rsidRPr="00511EB6" w:rsidRDefault="000D4A10" w:rsidP="000D4A10">
            <w:pPr>
              <w:rPr>
                <w:rFonts w:ascii="Times New Roman" w:eastAsia="Times New Roman" w:hAnsi="Times New Roman"/>
                <w:color w:val="222222"/>
                <w:sz w:val="20"/>
              </w:rPr>
            </w:pPr>
            <w:r w:rsidRPr="00511EB6">
              <w:rPr>
                <w:rFonts w:ascii="Times New Roman" w:eastAsia="Times New Roman" w:hAnsi="Times New Roman"/>
                <w:color w:val="222222"/>
                <w:sz w:val="20"/>
              </w:rPr>
              <w:t>All instruction is delivered online (Course is 100% online).</w:t>
            </w:r>
          </w:p>
        </w:tc>
      </w:tr>
      <w:tr w:rsidR="000D4A10" w:rsidRPr="00511EB6" w14:paraId="65D15676" w14:textId="77777777" w:rsidTr="00076F06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D2B48C"/>
              <w:left w:val="outset" w:sz="8" w:space="0" w:color="D2B48C"/>
              <w:bottom w:val="outset" w:sz="8" w:space="0" w:color="D2B48C"/>
              <w:right w:val="outset" w:sz="8" w:space="0" w:color="D2B48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E61954B" w14:textId="77777777" w:rsidR="000D4A10" w:rsidRPr="00511EB6" w:rsidRDefault="000D4A10" w:rsidP="000D4A10">
            <w:pPr>
              <w:jc w:val="center"/>
              <w:rPr>
                <w:rFonts w:ascii="Times New Roman" w:eastAsia="Times New Roman" w:hAnsi="Times New Roman"/>
                <w:color w:val="222222"/>
                <w:sz w:val="20"/>
              </w:rPr>
            </w:pPr>
            <w:r w:rsidRPr="00511EB6">
              <w:rPr>
                <w:rFonts w:ascii="Times New Roman" w:eastAsia="Times New Roman" w:hAnsi="Times New Roman"/>
                <w:b/>
                <w:bCs/>
                <w:color w:val="222222"/>
                <w:sz w:val="20"/>
              </w:rPr>
              <w:t>N</w:t>
            </w:r>
          </w:p>
        </w:tc>
        <w:tc>
          <w:tcPr>
            <w:tcW w:w="0" w:type="auto"/>
            <w:tcBorders>
              <w:top w:val="outset" w:sz="8" w:space="0" w:color="D2B48C"/>
              <w:left w:val="outset" w:sz="8" w:space="0" w:color="D2B48C"/>
              <w:bottom w:val="outset" w:sz="8" w:space="0" w:color="D2B48C"/>
              <w:right w:val="outset" w:sz="8" w:space="0" w:color="D2B48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0A93BFB" w14:textId="77777777" w:rsidR="000D4A10" w:rsidRPr="00511EB6" w:rsidRDefault="000D4A10" w:rsidP="00076F06">
            <w:pPr>
              <w:rPr>
                <w:rFonts w:ascii="Times New Roman" w:eastAsia="Times New Roman" w:hAnsi="Times New Roman"/>
                <w:color w:val="222222"/>
                <w:sz w:val="20"/>
              </w:rPr>
            </w:pPr>
            <w:r w:rsidRPr="00511EB6">
              <w:rPr>
                <w:rFonts w:ascii="Times New Roman" w:eastAsia="Times New Roman" w:hAnsi="Times New Roman"/>
                <w:color w:val="222222"/>
                <w:sz w:val="20"/>
              </w:rPr>
              <w:t>Primarily Online</w:t>
            </w:r>
          </w:p>
        </w:tc>
        <w:tc>
          <w:tcPr>
            <w:tcW w:w="0" w:type="auto"/>
            <w:tcBorders>
              <w:top w:val="outset" w:sz="8" w:space="0" w:color="D2B48C"/>
              <w:left w:val="outset" w:sz="8" w:space="0" w:color="D2B48C"/>
              <w:bottom w:val="outset" w:sz="8" w:space="0" w:color="D2B48C"/>
              <w:right w:val="outset" w:sz="8" w:space="0" w:color="D2B48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76EEEF1" w14:textId="77777777" w:rsidR="000D4A10" w:rsidRPr="00511EB6" w:rsidRDefault="000D4A10" w:rsidP="00076F06">
            <w:pPr>
              <w:rPr>
                <w:rFonts w:ascii="Times New Roman" w:eastAsia="Times New Roman" w:hAnsi="Times New Roman"/>
                <w:color w:val="222222"/>
                <w:sz w:val="20"/>
              </w:rPr>
            </w:pPr>
            <w:r w:rsidRPr="00511EB6">
              <w:rPr>
                <w:rFonts w:ascii="Times New Roman" w:eastAsia="Times New Roman" w:hAnsi="Times New Roman"/>
                <w:color w:val="222222"/>
                <w:sz w:val="20"/>
              </w:rPr>
              <w:t>No more than 3 face-to-face meetings may be required. Remaining course meetings</w:t>
            </w:r>
            <w:r w:rsidRPr="00511EB6">
              <w:rPr>
                <w:rFonts w:ascii="Times New Roman" w:eastAsia="Times New Roman" w:hAnsi="Times New Roman"/>
                <w:color w:val="222222"/>
                <w:sz w:val="20"/>
              </w:rPr>
              <w:br/>
              <w:t>are delivered online. Face-to-face dates will be specified.</w:t>
            </w:r>
          </w:p>
        </w:tc>
      </w:tr>
      <w:tr w:rsidR="000D4A10" w:rsidRPr="00511EB6" w14:paraId="55906A6D" w14:textId="77777777" w:rsidTr="00076F06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D2B48C"/>
              <w:left w:val="outset" w:sz="8" w:space="0" w:color="D2B48C"/>
              <w:bottom w:val="outset" w:sz="8" w:space="0" w:color="D2B48C"/>
              <w:right w:val="outset" w:sz="8" w:space="0" w:color="D2B48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AEECE93" w14:textId="77777777" w:rsidR="000D4A10" w:rsidRPr="00511EB6" w:rsidRDefault="000D4A10" w:rsidP="000D4A10">
            <w:pPr>
              <w:jc w:val="center"/>
              <w:rPr>
                <w:rFonts w:ascii="Times New Roman" w:eastAsia="Times New Roman" w:hAnsi="Times New Roman"/>
                <w:color w:val="222222"/>
                <w:sz w:val="20"/>
              </w:rPr>
            </w:pPr>
            <w:r w:rsidRPr="00511EB6">
              <w:rPr>
                <w:rFonts w:ascii="Times New Roman" w:eastAsia="Times New Roman" w:hAnsi="Times New Roman"/>
                <w:b/>
                <w:bCs/>
                <w:color w:val="222222"/>
                <w:sz w:val="20"/>
              </w:rPr>
              <w:t>LW</w:t>
            </w:r>
          </w:p>
        </w:tc>
        <w:tc>
          <w:tcPr>
            <w:tcW w:w="0" w:type="auto"/>
            <w:tcBorders>
              <w:top w:val="outset" w:sz="8" w:space="0" w:color="D2B48C"/>
              <w:left w:val="outset" w:sz="8" w:space="0" w:color="D2B48C"/>
              <w:bottom w:val="outset" w:sz="8" w:space="0" w:color="D2B48C"/>
              <w:right w:val="outset" w:sz="8" w:space="0" w:color="D2B48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677B1D9" w14:textId="77777777" w:rsidR="000D4A10" w:rsidRPr="00511EB6" w:rsidRDefault="000D4A10" w:rsidP="00076F06">
            <w:pPr>
              <w:rPr>
                <w:rFonts w:ascii="Times New Roman" w:eastAsia="Times New Roman" w:hAnsi="Times New Roman"/>
                <w:color w:val="222222"/>
                <w:sz w:val="20"/>
              </w:rPr>
            </w:pPr>
            <w:r w:rsidRPr="00511EB6">
              <w:rPr>
                <w:rFonts w:ascii="Times New Roman" w:eastAsia="Times New Roman" w:hAnsi="Times New Roman"/>
                <w:color w:val="222222"/>
                <w:sz w:val="20"/>
              </w:rPr>
              <w:t>Partially Online</w:t>
            </w:r>
          </w:p>
        </w:tc>
        <w:tc>
          <w:tcPr>
            <w:tcW w:w="0" w:type="auto"/>
            <w:tcBorders>
              <w:top w:val="outset" w:sz="8" w:space="0" w:color="D2B48C"/>
              <w:left w:val="outset" w:sz="8" w:space="0" w:color="D2B48C"/>
              <w:bottom w:val="outset" w:sz="8" w:space="0" w:color="D2B48C"/>
              <w:right w:val="outset" w:sz="8" w:space="0" w:color="D2B48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8EEA081" w14:textId="77777777" w:rsidR="000D4A10" w:rsidRPr="00511EB6" w:rsidRDefault="000D4A10" w:rsidP="00076F06">
            <w:pPr>
              <w:rPr>
                <w:rFonts w:ascii="Times New Roman" w:eastAsia="Times New Roman" w:hAnsi="Times New Roman"/>
                <w:color w:val="222222"/>
                <w:sz w:val="20"/>
              </w:rPr>
            </w:pPr>
            <w:r w:rsidRPr="00511EB6">
              <w:rPr>
                <w:rFonts w:ascii="Times New Roman" w:eastAsia="Times New Roman" w:hAnsi="Times New Roman"/>
                <w:color w:val="222222"/>
                <w:sz w:val="20"/>
              </w:rPr>
              <w:t>Course is 10%-74% online; at least 4 face-to-face dates will be specified.</w:t>
            </w:r>
          </w:p>
        </w:tc>
      </w:tr>
      <w:tr w:rsidR="000D4A10" w:rsidRPr="00511EB6" w14:paraId="2FC6422E" w14:textId="77777777" w:rsidTr="00076F06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D2B48C"/>
              <w:left w:val="outset" w:sz="8" w:space="0" w:color="D2B48C"/>
              <w:bottom w:val="outset" w:sz="8" w:space="0" w:color="D2B48C"/>
              <w:right w:val="outset" w:sz="8" w:space="0" w:color="D2B48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04FB137" w14:textId="77777777" w:rsidR="000D4A10" w:rsidRPr="00511EB6" w:rsidRDefault="000D4A10" w:rsidP="000D4A10">
            <w:pPr>
              <w:jc w:val="center"/>
              <w:rPr>
                <w:rFonts w:ascii="Times New Roman" w:eastAsia="Times New Roman" w:hAnsi="Times New Roman"/>
                <w:b/>
                <w:bCs/>
                <w:color w:val="222222"/>
                <w:sz w:val="20"/>
              </w:rPr>
            </w:pPr>
            <w:r w:rsidRPr="00511EB6">
              <w:rPr>
                <w:rFonts w:ascii="Times New Roman" w:eastAsia="Times New Roman" w:hAnsi="Times New Roman"/>
                <w:b/>
                <w:bCs/>
                <w:color w:val="222222"/>
                <w:sz w:val="20"/>
              </w:rPr>
              <w:t>L</w:t>
            </w:r>
          </w:p>
        </w:tc>
        <w:tc>
          <w:tcPr>
            <w:tcW w:w="0" w:type="auto"/>
            <w:tcBorders>
              <w:top w:val="outset" w:sz="8" w:space="0" w:color="D2B48C"/>
              <w:left w:val="outset" w:sz="8" w:space="0" w:color="D2B48C"/>
              <w:bottom w:val="outset" w:sz="8" w:space="0" w:color="D2B48C"/>
              <w:right w:val="outset" w:sz="8" w:space="0" w:color="D2B48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C4E47C0" w14:textId="77777777" w:rsidR="000D4A10" w:rsidRPr="00511EB6" w:rsidRDefault="000D4A10" w:rsidP="00076F06">
            <w:pPr>
              <w:rPr>
                <w:rFonts w:ascii="Times New Roman" w:eastAsia="Times New Roman" w:hAnsi="Times New Roman"/>
                <w:color w:val="222222"/>
                <w:sz w:val="20"/>
              </w:rPr>
            </w:pPr>
            <w:r w:rsidRPr="00511EB6">
              <w:rPr>
                <w:rFonts w:ascii="Times New Roman" w:eastAsia="Times New Roman" w:hAnsi="Times New Roman"/>
                <w:color w:val="222222"/>
                <w:sz w:val="20"/>
              </w:rPr>
              <w:t>Fully Face-to-face</w:t>
            </w:r>
          </w:p>
        </w:tc>
        <w:tc>
          <w:tcPr>
            <w:tcW w:w="0" w:type="auto"/>
            <w:tcBorders>
              <w:top w:val="outset" w:sz="8" w:space="0" w:color="D2B48C"/>
              <w:left w:val="outset" w:sz="8" w:space="0" w:color="D2B48C"/>
              <w:bottom w:val="outset" w:sz="8" w:space="0" w:color="D2B48C"/>
              <w:right w:val="outset" w:sz="8" w:space="0" w:color="D2B48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2235023" w14:textId="77777777" w:rsidR="000D4A10" w:rsidRPr="00511EB6" w:rsidRDefault="000D4A10" w:rsidP="00076F06">
            <w:pPr>
              <w:rPr>
                <w:rFonts w:ascii="Times New Roman" w:eastAsia="Times New Roman" w:hAnsi="Times New Roman"/>
                <w:color w:val="222222"/>
                <w:sz w:val="20"/>
              </w:rPr>
            </w:pPr>
            <w:r w:rsidRPr="00511EB6">
              <w:rPr>
                <w:rFonts w:ascii="Times New Roman" w:eastAsia="Times New Roman" w:hAnsi="Times New Roman"/>
                <w:color w:val="222222"/>
                <w:sz w:val="20"/>
              </w:rPr>
              <w:t>All classes are face-to-face</w:t>
            </w:r>
          </w:p>
        </w:tc>
      </w:tr>
    </w:tbl>
    <w:p w14:paraId="5EC1C731" w14:textId="77777777" w:rsidR="000D4A10" w:rsidRDefault="000D4A10">
      <w:pPr>
        <w:rPr>
          <w:b/>
        </w:rPr>
      </w:pPr>
    </w:p>
    <w:p w14:paraId="7E5EB0F8" w14:textId="77777777" w:rsidR="000D4A10" w:rsidRDefault="000D4A10">
      <w:pPr>
        <w:rPr>
          <w:b/>
        </w:rPr>
      </w:pPr>
    </w:p>
    <w:p w14:paraId="66E329F2" w14:textId="0D6F8BB6" w:rsidR="006A6F4E" w:rsidRDefault="006A6F4E" w:rsidP="006A6F4E">
      <w:pPr>
        <w:jc w:val="center"/>
        <w:rPr>
          <w:b/>
        </w:rPr>
      </w:pPr>
      <w:r>
        <w:rPr>
          <w:b/>
        </w:rPr>
        <w:t xml:space="preserve">Sample </w:t>
      </w:r>
      <w:r w:rsidR="00B17E79">
        <w:rPr>
          <w:b/>
        </w:rPr>
        <w:t xml:space="preserve">Fully On-Line </w:t>
      </w:r>
      <w:r>
        <w:rPr>
          <w:b/>
        </w:rPr>
        <w:t>Program Plan</w:t>
      </w:r>
    </w:p>
    <w:p w14:paraId="61A4B774" w14:textId="77777777" w:rsidR="00DB6D6B" w:rsidRDefault="00DB6D6B"/>
    <w:p w14:paraId="1B34AAE9" w14:textId="31E2D629" w:rsidR="00B17E79" w:rsidRPr="00B17E79" w:rsidRDefault="00B17E79">
      <w:r w:rsidRPr="00B17E79">
        <w:t xml:space="preserve">The fully on-line program is designed for a </w:t>
      </w:r>
      <w:proofErr w:type="gramStart"/>
      <w:r w:rsidRPr="00B17E79">
        <w:t>Fall</w:t>
      </w:r>
      <w:proofErr w:type="gramEnd"/>
      <w:r w:rsidRPr="00B17E79">
        <w:t xml:space="preserve"> term start. Students who wish to begin the MAT in the </w:t>
      </w:r>
      <w:proofErr w:type="gramStart"/>
      <w:r w:rsidRPr="00B17E79">
        <w:t>Winter</w:t>
      </w:r>
      <w:proofErr w:type="gramEnd"/>
      <w:r w:rsidRPr="00B17E79">
        <w:t xml:space="preserve"> term </w:t>
      </w:r>
      <w:r w:rsidR="00DB6D6B">
        <w:t>should</w:t>
      </w:r>
      <w:r w:rsidRPr="00B17E79">
        <w:t xml:space="preserve"> be prepared to take both RDG 500 and RDG 538 in the following Fall term.</w:t>
      </w:r>
      <w:r w:rsidR="00442379">
        <w:t xml:space="preserve"> Students have additional options if </w:t>
      </w:r>
      <w:r w:rsidR="00DB6D6B">
        <w:t xml:space="preserve">face-to-face (L) </w:t>
      </w:r>
      <w:r w:rsidR="00442379">
        <w:t xml:space="preserve">and </w:t>
      </w:r>
      <w:r w:rsidR="00DB6D6B">
        <w:t>partially online (LW)</w:t>
      </w:r>
      <w:r w:rsidR="00442379">
        <w:t xml:space="preserve"> courses are included in the program of study.</w:t>
      </w:r>
      <w:r w:rsidR="00F31177">
        <w:t xml:space="preserve"> Completion of the program requires </w:t>
      </w:r>
      <w:r w:rsidR="003C79C1">
        <w:t xml:space="preserve">either </w:t>
      </w:r>
      <w:r w:rsidR="00F31177">
        <w:t xml:space="preserve">36 credits of course work or </w:t>
      </w:r>
      <w:r w:rsidR="003C79C1">
        <w:t>32 credits if the RDG 699 Master’s Project is included.</w:t>
      </w:r>
    </w:p>
    <w:p w14:paraId="4A2424EE" w14:textId="5F0008F8" w:rsidR="00595CA8" w:rsidRPr="00595CA8" w:rsidRDefault="006A6F4E">
      <w:pPr>
        <w:rPr>
          <w:b/>
        </w:rPr>
      </w:pPr>
      <w:r>
        <w:rPr>
          <w:b/>
        </w:rPr>
        <w:br/>
      </w:r>
      <w:r w:rsidR="00595CA8" w:rsidRPr="00595CA8">
        <w:rPr>
          <w:b/>
        </w:rPr>
        <w:t>First Year Fully On-Line Program</w:t>
      </w:r>
    </w:p>
    <w:p w14:paraId="67A9ADA7" w14:textId="77777777" w:rsidR="00595CA8" w:rsidRDefault="00595CA8" w:rsidP="00595CA8">
      <w:pPr>
        <w:tabs>
          <w:tab w:val="left" w:pos="2160"/>
        </w:tabs>
        <w:ind w:left="720"/>
      </w:pPr>
      <w:r>
        <w:t>Fall</w:t>
      </w:r>
      <w:r>
        <w:tab/>
      </w:r>
      <w:r w:rsidRPr="00595CA8">
        <w:t>RDG 500: Foundations of Reading Instruction</w:t>
      </w:r>
    </w:p>
    <w:p w14:paraId="4969AA3E" w14:textId="3B95854A" w:rsidR="006A6F4E" w:rsidRDefault="00595CA8" w:rsidP="006A6F4E">
      <w:pPr>
        <w:tabs>
          <w:tab w:val="left" w:pos="2160"/>
        </w:tabs>
        <w:ind w:left="720"/>
      </w:pPr>
      <w:r>
        <w:t>Winter</w:t>
      </w:r>
      <w:r>
        <w:tab/>
      </w:r>
      <w:r w:rsidRPr="00595CA8">
        <w:t>RDG 575: Teaching Writing in the Elementary &amp; Secondary Schools</w:t>
      </w:r>
    </w:p>
    <w:p w14:paraId="2AE5A70B" w14:textId="77777777" w:rsidR="00595CA8" w:rsidRPr="00595CA8" w:rsidRDefault="00595CA8" w:rsidP="00595CA8">
      <w:pPr>
        <w:rPr>
          <w:b/>
        </w:rPr>
      </w:pPr>
      <w:r w:rsidRPr="00595CA8">
        <w:rPr>
          <w:b/>
        </w:rPr>
        <w:t>Second Year Fully On-Line Program</w:t>
      </w:r>
    </w:p>
    <w:p w14:paraId="47462477" w14:textId="77777777" w:rsidR="00595CA8" w:rsidRDefault="00595CA8" w:rsidP="00595CA8">
      <w:pPr>
        <w:tabs>
          <w:tab w:val="left" w:pos="2160"/>
        </w:tabs>
        <w:ind w:left="720"/>
      </w:pPr>
      <w:r w:rsidRPr="006A6F4E">
        <w:t>Fall</w:t>
      </w:r>
      <w:r w:rsidRPr="006A6F4E">
        <w:tab/>
        <w:t>RDG 538: Reading/Learning in Content Subjects</w:t>
      </w:r>
    </w:p>
    <w:p w14:paraId="68F1D068" w14:textId="77777777" w:rsidR="00595CA8" w:rsidRDefault="00595CA8" w:rsidP="00595CA8">
      <w:pPr>
        <w:tabs>
          <w:tab w:val="left" w:pos="2160"/>
        </w:tabs>
        <w:ind w:left="720"/>
      </w:pPr>
      <w:r>
        <w:t>Winter</w:t>
      </w:r>
      <w:r>
        <w:tab/>
      </w:r>
      <w:r w:rsidRPr="00595CA8">
        <w:t>RDG 540: Leadership Literacy Instruction</w:t>
      </w:r>
    </w:p>
    <w:p w14:paraId="1FD50431" w14:textId="77777777" w:rsidR="00595CA8" w:rsidRPr="00595CA8" w:rsidRDefault="00595CA8" w:rsidP="00595CA8">
      <w:pPr>
        <w:rPr>
          <w:b/>
        </w:rPr>
      </w:pPr>
      <w:r w:rsidRPr="00595CA8">
        <w:rPr>
          <w:b/>
        </w:rPr>
        <w:t>Third Year Fully On-Line Program</w:t>
      </w:r>
    </w:p>
    <w:p w14:paraId="6048456D" w14:textId="001279DF" w:rsidR="00175659" w:rsidRDefault="00175659" w:rsidP="00595CA8">
      <w:pPr>
        <w:tabs>
          <w:tab w:val="left" w:pos="2160"/>
        </w:tabs>
        <w:ind w:left="720"/>
      </w:pPr>
      <w:r w:rsidRPr="006A6F4E">
        <w:t>Fall</w:t>
      </w:r>
      <w:r w:rsidRPr="006A6F4E">
        <w:tab/>
        <w:t>RDG 571:</w:t>
      </w:r>
      <w:r w:rsidR="00D209AB" w:rsidRPr="006A6F4E">
        <w:t xml:space="preserve"> Foundations in Literature for Children and Young Adults</w:t>
      </w:r>
    </w:p>
    <w:p w14:paraId="4A0EA08B" w14:textId="77777777" w:rsidR="00595CA8" w:rsidRPr="00595CA8" w:rsidRDefault="00595CA8" w:rsidP="00595CA8">
      <w:pPr>
        <w:tabs>
          <w:tab w:val="left" w:pos="2160"/>
        </w:tabs>
        <w:ind w:left="720"/>
      </w:pPr>
      <w:r>
        <w:t xml:space="preserve">Winter </w:t>
      </w:r>
      <w:r>
        <w:tab/>
      </w:r>
      <w:r w:rsidRPr="00595CA8">
        <w:t>RDG 632: Diagnosis of Reading Disabilities</w:t>
      </w:r>
    </w:p>
    <w:p w14:paraId="2E31DF0C" w14:textId="12B4B4E1" w:rsidR="00595CA8" w:rsidRDefault="00595CA8" w:rsidP="00595CA8">
      <w:pPr>
        <w:tabs>
          <w:tab w:val="left" w:pos="2160"/>
        </w:tabs>
        <w:ind w:left="720"/>
      </w:pPr>
      <w:r>
        <w:t>S</w:t>
      </w:r>
      <w:r w:rsidR="006A6F4E">
        <w:t xml:space="preserve">ummer </w:t>
      </w:r>
      <w:r>
        <w:t>1</w:t>
      </w:r>
      <w:r>
        <w:tab/>
      </w:r>
      <w:r w:rsidRPr="00595CA8">
        <w:t>RDG 633: Correction of Reading Disabilities</w:t>
      </w:r>
    </w:p>
    <w:p w14:paraId="4A468E13" w14:textId="6EA2060B" w:rsidR="00442379" w:rsidRDefault="00632618" w:rsidP="00632618">
      <w:pPr>
        <w:rPr>
          <w:b/>
        </w:rPr>
      </w:pPr>
      <w:r w:rsidRPr="00632618">
        <w:rPr>
          <w:b/>
        </w:rPr>
        <w:t>RDG 699: Master’s Project</w:t>
      </w:r>
      <w:r>
        <w:rPr>
          <w:b/>
        </w:rPr>
        <w:t xml:space="preserve"> can be arranged for </w:t>
      </w:r>
      <w:r w:rsidR="006A6F4E">
        <w:rPr>
          <w:b/>
        </w:rPr>
        <w:t xml:space="preserve">online format </w:t>
      </w:r>
      <w:r>
        <w:rPr>
          <w:b/>
        </w:rPr>
        <w:t>any semester.</w:t>
      </w:r>
    </w:p>
    <w:p w14:paraId="55D53012" w14:textId="3DC32F0F" w:rsidR="00632618" w:rsidRPr="00632618" w:rsidRDefault="00632618" w:rsidP="00632618">
      <w:pPr>
        <w:rPr>
          <w:b/>
        </w:rPr>
      </w:pPr>
    </w:p>
    <w:sectPr w:rsidR="00632618" w:rsidRPr="00632618" w:rsidSect="00F249A7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CA8"/>
    <w:rsid w:val="000C3BB6"/>
    <w:rsid w:val="000D4A10"/>
    <w:rsid w:val="00175659"/>
    <w:rsid w:val="00242662"/>
    <w:rsid w:val="003C79C1"/>
    <w:rsid w:val="00442379"/>
    <w:rsid w:val="00477558"/>
    <w:rsid w:val="00553092"/>
    <w:rsid w:val="005605F0"/>
    <w:rsid w:val="00595CA8"/>
    <w:rsid w:val="00632618"/>
    <w:rsid w:val="006A6F4E"/>
    <w:rsid w:val="007A73E3"/>
    <w:rsid w:val="00B17E79"/>
    <w:rsid w:val="00BB287B"/>
    <w:rsid w:val="00C6314A"/>
    <w:rsid w:val="00D209AB"/>
    <w:rsid w:val="00DB6D6B"/>
    <w:rsid w:val="00F249A7"/>
    <w:rsid w:val="00F31177"/>
    <w:rsid w:val="00F42426"/>
    <w:rsid w:val="00F5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B550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95CA8"/>
    <w:pPr>
      <w:keepNext/>
      <w:outlineLvl w:val="0"/>
    </w:pPr>
    <w:rPr>
      <w:rFonts w:ascii="Times" w:eastAsia="Times" w:hAnsi="Times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595CA8"/>
    <w:pPr>
      <w:keepNext/>
      <w:spacing w:before="240" w:after="60"/>
      <w:outlineLvl w:val="2"/>
    </w:pPr>
    <w:rPr>
      <w:rFonts w:ascii="Arial" w:eastAsia="Times" w:hAnsi="Arial" w:cs="Times New Roman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5CA8"/>
    <w:rPr>
      <w:rFonts w:ascii="Times" w:eastAsia="Times" w:hAnsi="Times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595CA8"/>
    <w:rPr>
      <w:rFonts w:ascii="Arial" w:eastAsia="Times" w:hAnsi="Arial" w:cs="Times New Roman"/>
      <w:b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95CA8"/>
    <w:pPr>
      <w:keepNext/>
      <w:outlineLvl w:val="0"/>
    </w:pPr>
    <w:rPr>
      <w:rFonts w:ascii="Times" w:eastAsia="Times" w:hAnsi="Times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595CA8"/>
    <w:pPr>
      <w:keepNext/>
      <w:spacing w:before="240" w:after="60"/>
      <w:outlineLvl w:val="2"/>
    </w:pPr>
    <w:rPr>
      <w:rFonts w:ascii="Arial" w:eastAsia="Times" w:hAnsi="Arial" w:cs="Times New Roman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5CA8"/>
    <w:rPr>
      <w:rFonts w:ascii="Times" w:eastAsia="Times" w:hAnsi="Times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595CA8"/>
    <w:rPr>
      <w:rFonts w:ascii="Arial" w:eastAsia="Times" w:hAnsi="Arial" w:cs="Times New Roman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 Unversity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M. Pavonetti</dc:creator>
  <cp:lastModifiedBy>Lauryn Roycraft</cp:lastModifiedBy>
  <cp:revision>2</cp:revision>
  <cp:lastPrinted>2015-11-06T18:16:00Z</cp:lastPrinted>
  <dcterms:created xsi:type="dcterms:W3CDTF">2016-02-09T20:21:00Z</dcterms:created>
  <dcterms:modified xsi:type="dcterms:W3CDTF">2016-02-09T20:21:00Z</dcterms:modified>
</cp:coreProperties>
</file>